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61F" w:rsidRPr="00ED4B10" w:rsidRDefault="006D772F" w:rsidP="003F62D2">
      <w:pPr>
        <w:pStyle w:val="BodyText"/>
        <w:jc w:val="both"/>
        <w:rPr>
          <w:rFonts w:asciiTheme="minorHAnsi" w:hAnsiTheme="minorHAnsi"/>
          <w:sz w:val="22"/>
          <w:szCs w:val="22"/>
        </w:rPr>
      </w:pPr>
      <w:r w:rsidRPr="00ED4B10">
        <w:rPr>
          <w:rFonts w:asciiTheme="minorHAnsi" w:hAnsiTheme="minorHAnsi"/>
          <w:sz w:val="22"/>
          <w:szCs w:val="22"/>
        </w:rPr>
        <w:t>No: -</w:t>
      </w:r>
      <w:r w:rsidR="0016761F" w:rsidRPr="00ED4B10">
        <w:rPr>
          <w:rFonts w:asciiTheme="minorHAnsi" w:hAnsiTheme="minorHAnsi"/>
          <w:sz w:val="22"/>
          <w:szCs w:val="22"/>
        </w:rPr>
        <w:t xml:space="preserve"> GOA-IDC/</w:t>
      </w:r>
      <w:proofErr w:type="gramStart"/>
      <w:r w:rsidR="0016761F" w:rsidRPr="00ED4B10">
        <w:rPr>
          <w:rFonts w:asciiTheme="minorHAnsi" w:hAnsiTheme="minorHAnsi"/>
          <w:sz w:val="22"/>
          <w:szCs w:val="22"/>
        </w:rPr>
        <w:t>GM(</w:t>
      </w:r>
      <w:proofErr w:type="gramEnd"/>
      <w:r w:rsidR="0016761F" w:rsidRPr="00ED4B10">
        <w:rPr>
          <w:rFonts w:asciiTheme="minorHAnsi" w:hAnsiTheme="minorHAnsi"/>
          <w:sz w:val="22"/>
          <w:szCs w:val="22"/>
        </w:rPr>
        <w:t>E)/Canteen/Indust</w:t>
      </w:r>
      <w:r>
        <w:rPr>
          <w:rFonts w:asciiTheme="minorHAnsi" w:hAnsiTheme="minorHAnsi"/>
          <w:sz w:val="22"/>
          <w:szCs w:val="22"/>
        </w:rPr>
        <w:t>rial Estates/</w:t>
      </w:r>
      <w:r w:rsidR="00720AA1" w:rsidRPr="00ED4B10">
        <w:rPr>
          <w:rFonts w:asciiTheme="minorHAnsi" w:hAnsiTheme="minorHAnsi"/>
          <w:sz w:val="22"/>
          <w:szCs w:val="22"/>
        </w:rPr>
        <w:t>Tender notice/2015-16/A-02</w:t>
      </w:r>
    </w:p>
    <w:p w:rsidR="0016761F" w:rsidRPr="00ED4B10" w:rsidRDefault="0016761F" w:rsidP="003F62D2">
      <w:pPr>
        <w:pStyle w:val="BodyText"/>
        <w:jc w:val="both"/>
        <w:rPr>
          <w:rFonts w:asciiTheme="minorHAnsi" w:hAnsiTheme="minorHAnsi"/>
          <w:sz w:val="22"/>
          <w:szCs w:val="22"/>
        </w:rPr>
      </w:pPr>
      <w:r w:rsidRPr="00ED4B10">
        <w:rPr>
          <w:rFonts w:asciiTheme="minorHAnsi" w:hAnsiTheme="minorHAnsi"/>
          <w:sz w:val="22"/>
          <w:szCs w:val="22"/>
        </w:rPr>
        <w:t xml:space="preserve">Date: </w:t>
      </w:r>
      <w:r w:rsidR="00E36976">
        <w:rPr>
          <w:rFonts w:asciiTheme="minorHAnsi" w:hAnsiTheme="minorHAnsi"/>
          <w:sz w:val="22"/>
          <w:szCs w:val="22"/>
        </w:rPr>
        <w:t>1/06</w:t>
      </w:r>
      <w:r w:rsidR="00720AA1" w:rsidRPr="00ED4B10">
        <w:rPr>
          <w:rFonts w:asciiTheme="minorHAnsi" w:hAnsiTheme="minorHAnsi"/>
          <w:sz w:val="22"/>
          <w:szCs w:val="22"/>
        </w:rPr>
        <w:t>/2015</w:t>
      </w:r>
      <w:r w:rsidRPr="00ED4B10">
        <w:rPr>
          <w:rFonts w:asciiTheme="minorHAnsi" w:hAnsiTheme="minorHAnsi"/>
          <w:sz w:val="22"/>
          <w:szCs w:val="22"/>
        </w:rPr>
        <w:t>.</w:t>
      </w:r>
    </w:p>
    <w:p w:rsidR="0016761F" w:rsidRPr="00ED4B10" w:rsidRDefault="0016761F" w:rsidP="003F62D2">
      <w:pPr>
        <w:pStyle w:val="BodyText"/>
        <w:jc w:val="center"/>
        <w:rPr>
          <w:rFonts w:asciiTheme="minorHAnsi" w:hAnsiTheme="minorHAnsi"/>
          <w:b/>
          <w:sz w:val="22"/>
          <w:szCs w:val="22"/>
        </w:rPr>
      </w:pPr>
      <w:r w:rsidRPr="00ED4B10">
        <w:rPr>
          <w:rFonts w:asciiTheme="minorHAnsi" w:hAnsiTheme="minorHAnsi"/>
          <w:b/>
          <w:sz w:val="22"/>
          <w:szCs w:val="22"/>
          <w:u w:val="single"/>
        </w:rPr>
        <w:t>TENDER NOTICE</w:t>
      </w:r>
      <w:r w:rsidRPr="00ED4B10">
        <w:rPr>
          <w:rFonts w:asciiTheme="minorHAnsi" w:hAnsiTheme="minorHAnsi"/>
          <w:b/>
          <w:sz w:val="22"/>
          <w:szCs w:val="22"/>
        </w:rPr>
        <w:t xml:space="preserve">              </w:t>
      </w:r>
    </w:p>
    <w:p w:rsidR="0016761F" w:rsidRPr="00ED4B10" w:rsidRDefault="0016761F" w:rsidP="00DF3EE5">
      <w:pPr>
        <w:pStyle w:val="BodyText"/>
        <w:spacing w:line="360" w:lineRule="auto"/>
        <w:jc w:val="center"/>
        <w:rPr>
          <w:rFonts w:asciiTheme="minorHAnsi" w:hAnsiTheme="minorHAnsi"/>
          <w:b/>
          <w:sz w:val="22"/>
          <w:szCs w:val="22"/>
          <w:u w:val="single"/>
        </w:rPr>
      </w:pPr>
      <w:r w:rsidRPr="00ED4B10">
        <w:rPr>
          <w:rFonts w:asciiTheme="minorHAnsi" w:hAnsiTheme="minorHAnsi"/>
          <w:b/>
          <w:sz w:val="22"/>
          <w:szCs w:val="22"/>
          <w:u w:val="single"/>
        </w:rPr>
        <w:t>*Running of canteen contract on highest bid basis*</w:t>
      </w:r>
    </w:p>
    <w:p w:rsidR="0016761F" w:rsidRPr="00ED4B10" w:rsidRDefault="0016761F" w:rsidP="003F62D2">
      <w:pPr>
        <w:pStyle w:val="BodyText"/>
        <w:jc w:val="both"/>
        <w:rPr>
          <w:rFonts w:asciiTheme="minorHAnsi" w:hAnsiTheme="minorHAnsi"/>
          <w:b/>
          <w:sz w:val="22"/>
          <w:szCs w:val="22"/>
          <w:u w:val="single"/>
        </w:rPr>
      </w:pPr>
      <w:r w:rsidRPr="00ED4B10">
        <w:rPr>
          <w:rFonts w:asciiTheme="minorHAnsi" w:hAnsiTheme="minorHAnsi"/>
          <w:sz w:val="22"/>
          <w:szCs w:val="22"/>
        </w:rPr>
        <w:t>The General Manager (Engg) on behalf of the Goa Industrial Development Corporation, Panaji-Goa invites sealed highest bid/applications from well experienced and eligible contractors/agencies for running a Canteen in the various Industrial Estates as detailed below.</w:t>
      </w:r>
    </w:p>
    <w:p w:rsidR="0016761F" w:rsidRPr="00DC7A34" w:rsidRDefault="0016761F" w:rsidP="00DC7A34">
      <w:pPr>
        <w:pStyle w:val="BodyText"/>
        <w:jc w:val="center"/>
        <w:outlineLvl w:val="0"/>
        <w:rPr>
          <w:rFonts w:asciiTheme="minorHAnsi" w:hAnsiTheme="minorHAnsi"/>
          <w:b/>
          <w:sz w:val="22"/>
          <w:szCs w:val="22"/>
          <w:u w:val="single"/>
        </w:rPr>
      </w:pPr>
      <w:r w:rsidRPr="00ED4B10">
        <w:rPr>
          <w:rFonts w:asciiTheme="minorHAnsi" w:hAnsiTheme="minorHAnsi"/>
          <w:b/>
          <w:sz w:val="22"/>
          <w:szCs w:val="22"/>
          <w:u w:val="single"/>
        </w:rPr>
        <w:t>S C H E D U L 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268"/>
        <w:gridCol w:w="4111"/>
        <w:gridCol w:w="1842"/>
      </w:tblGrid>
      <w:tr w:rsidR="0016761F" w:rsidRPr="00CC376F" w:rsidTr="00DC7A34">
        <w:trPr>
          <w:trHeight w:val="589"/>
        </w:trPr>
        <w:tc>
          <w:tcPr>
            <w:tcW w:w="851" w:type="dxa"/>
          </w:tcPr>
          <w:p w:rsidR="0016761F" w:rsidRPr="00ED4B10" w:rsidRDefault="0016761F" w:rsidP="003F62D2">
            <w:pPr>
              <w:pStyle w:val="BodyText"/>
              <w:jc w:val="both"/>
              <w:rPr>
                <w:rFonts w:asciiTheme="minorHAnsi" w:hAnsiTheme="minorHAnsi"/>
                <w:b/>
                <w:sz w:val="22"/>
                <w:szCs w:val="22"/>
              </w:rPr>
            </w:pPr>
            <w:proofErr w:type="spellStart"/>
            <w:r w:rsidRPr="00ED4B10">
              <w:rPr>
                <w:rFonts w:asciiTheme="minorHAnsi" w:hAnsiTheme="minorHAnsi"/>
                <w:b/>
                <w:sz w:val="22"/>
                <w:szCs w:val="22"/>
              </w:rPr>
              <w:t>Sr.No</w:t>
            </w:r>
            <w:proofErr w:type="spellEnd"/>
            <w:r w:rsidRPr="00ED4B10">
              <w:rPr>
                <w:rFonts w:asciiTheme="minorHAnsi" w:hAnsiTheme="minorHAnsi"/>
                <w:b/>
                <w:sz w:val="22"/>
                <w:szCs w:val="22"/>
              </w:rPr>
              <w:t>.</w:t>
            </w:r>
          </w:p>
        </w:tc>
        <w:tc>
          <w:tcPr>
            <w:tcW w:w="2268" w:type="dxa"/>
          </w:tcPr>
          <w:p w:rsidR="0016761F" w:rsidRPr="00ED4B10" w:rsidRDefault="0016761F" w:rsidP="003F62D2">
            <w:pPr>
              <w:pStyle w:val="BodyText"/>
              <w:jc w:val="both"/>
              <w:rPr>
                <w:rFonts w:asciiTheme="minorHAnsi" w:hAnsiTheme="minorHAnsi"/>
                <w:b/>
                <w:sz w:val="22"/>
                <w:szCs w:val="22"/>
              </w:rPr>
            </w:pPr>
            <w:r w:rsidRPr="00ED4B10">
              <w:rPr>
                <w:rFonts w:asciiTheme="minorHAnsi" w:hAnsiTheme="minorHAnsi"/>
                <w:b/>
                <w:sz w:val="22"/>
                <w:szCs w:val="22"/>
              </w:rPr>
              <w:t>Name of the Industrial Estate</w:t>
            </w:r>
          </w:p>
        </w:tc>
        <w:tc>
          <w:tcPr>
            <w:tcW w:w="4111" w:type="dxa"/>
          </w:tcPr>
          <w:p w:rsidR="0016761F" w:rsidRPr="00CC376F" w:rsidRDefault="0016761F" w:rsidP="003F62D2">
            <w:pPr>
              <w:pStyle w:val="BodyText"/>
              <w:jc w:val="both"/>
              <w:rPr>
                <w:b/>
                <w:sz w:val="22"/>
                <w:szCs w:val="22"/>
              </w:rPr>
            </w:pPr>
            <w:r w:rsidRPr="00ED4B10">
              <w:rPr>
                <w:rFonts w:asciiTheme="minorHAnsi" w:hAnsiTheme="minorHAnsi"/>
                <w:b/>
                <w:sz w:val="22"/>
                <w:szCs w:val="22"/>
              </w:rPr>
              <w:t>Upset value</w:t>
            </w:r>
            <w:r w:rsidR="00E34038" w:rsidRPr="00ED4B10">
              <w:rPr>
                <w:rFonts w:asciiTheme="minorHAnsi" w:hAnsiTheme="minorHAnsi"/>
                <w:b/>
                <w:sz w:val="22"/>
                <w:szCs w:val="22"/>
              </w:rPr>
              <w:t xml:space="preserve"> in</w:t>
            </w:r>
            <w:r w:rsidR="00E34038" w:rsidRPr="00CC376F">
              <w:rPr>
                <w:b/>
                <w:sz w:val="22"/>
                <w:szCs w:val="22"/>
              </w:rPr>
              <w:t xml:space="preserve"> ₹</w:t>
            </w:r>
          </w:p>
          <w:p w:rsidR="0016761F" w:rsidRPr="00CC376F" w:rsidRDefault="0016761F" w:rsidP="003F62D2">
            <w:pPr>
              <w:pStyle w:val="BodyText"/>
              <w:jc w:val="both"/>
              <w:rPr>
                <w:b/>
                <w:sz w:val="22"/>
                <w:szCs w:val="22"/>
              </w:rPr>
            </w:pPr>
          </w:p>
        </w:tc>
        <w:tc>
          <w:tcPr>
            <w:tcW w:w="1842" w:type="dxa"/>
          </w:tcPr>
          <w:p w:rsidR="0016761F" w:rsidRPr="00CC376F" w:rsidRDefault="0016761F" w:rsidP="003F62D2">
            <w:pPr>
              <w:pStyle w:val="BodyText"/>
              <w:jc w:val="both"/>
              <w:rPr>
                <w:b/>
                <w:sz w:val="22"/>
                <w:szCs w:val="22"/>
              </w:rPr>
            </w:pPr>
            <w:r w:rsidRPr="00ED4B10">
              <w:rPr>
                <w:rFonts w:asciiTheme="minorHAnsi" w:hAnsiTheme="minorHAnsi"/>
                <w:b/>
                <w:sz w:val="22"/>
                <w:szCs w:val="22"/>
              </w:rPr>
              <w:t>Security deposit</w:t>
            </w:r>
            <w:r w:rsidR="00E04B83" w:rsidRPr="00ED4B10">
              <w:rPr>
                <w:rFonts w:asciiTheme="minorHAnsi" w:hAnsiTheme="minorHAnsi"/>
                <w:b/>
                <w:sz w:val="22"/>
                <w:szCs w:val="22"/>
              </w:rPr>
              <w:t xml:space="preserve"> in</w:t>
            </w:r>
            <w:r w:rsidR="00E04B83" w:rsidRPr="00CC376F">
              <w:rPr>
                <w:b/>
                <w:sz w:val="22"/>
                <w:szCs w:val="22"/>
              </w:rPr>
              <w:t xml:space="preserve"> ₹</w:t>
            </w:r>
          </w:p>
        </w:tc>
      </w:tr>
      <w:tr w:rsidR="0016761F" w:rsidRPr="00CC376F" w:rsidTr="00DC7A34">
        <w:tc>
          <w:tcPr>
            <w:tcW w:w="851" w:type="dxa"/>
          </w:tcPr>
          <w:p w:rsidR="0016761F" w:rsidRPr="00ED4B10" w:rsidRDefault="0016761F" w:rsidP="003F62D2">
            <w:pPr>
              <w:pStyle w:val="BodyText"/>
              <w:jc w:val="both"/>
              <w:rPr>
                <w:rFonts w:asciiTheme="minorHAnsi" w:hAnsiTheme="minorHAnsi"/>
                <w:sz w:val="22"/>
                <w:szCs w:val="22"/>
              </w:rPr>
            </w:pPr>
            <w:r w:rsidRPr="00ED4B10">
              <w:rPr>
                <w:rFonts w:asciiTheme="minorHAnsi" w:hAnsiTheme="minorHAnsi"/>
                <w:sz w:val="22"/>
                <w:szCs w:val="22"/>
              </w:rPr>
              <w:t>1.</w:t>
            </w:r>
          </w:p>
        </w:tc>
        <w:tc>
          <w:tcPr>
            <w:tcW w:w="2268" w:type="dxa"/>
          </w:tcPr>
          <w:p w:rsidR="0016761F" w:rsidRPr="00ED4B10" w:rsidRDefault="004A569B" w:rsidP="003F62D2">
            <w:pPr>
              <w:pStyle w:val="BodyText"/>
              <w:jc w:val="both"/>
              <w:rPr>
                <w:rFonts w:asciiTheme="minorHAnsi" w:hAnsiTheme="minorHAnsi"/>
                <w:sz w:val="22"/>
                <w:szCs w:val="22"/>
              </w:rPr>
            </w:pPr>
            <w:r w:rsidRPr="00ED4B10">
              <w:rPr>
                <w:rFonts w:asciiTheme="minorHAnsi" w:hAnsiTheme="minorHAnsi"/>
                <w:sz w:val="22"/>
                <w:szCs w:val="22"/>
              </w:rPr>
              <w:t>Pilerne</w:t>
            </w:r>
          </w:p>
        </w:tc>
        <w:tc>
          <w:tcPr>
            <w:tcW w:w="4111" w:type="dxa"/>
          </w:tcPr>
          <w:p w:rsidR="009A5EB3" w:rsidRPr="00CC376F" w:rsidRDefault="00F9076A" w:rsidP="009A5EB3">
            <w:pPr>
              <w:pStyle w:val="BodyText"/>
              <w:jc w:val="both"/>
              <w:rPr>
                <w:rFonts w:ascii="Rupee Foradian Standard Cool" w:hAnsi="Rupee Foradian Standard Cool"/>
                <w:sz w:val="22"/>
                <w:szCs w:val="22"/>
              </w:rPr>
            </w:pPr>
            <w:r>
              <w:rPr>
                <w:rFonts w:asciiTheme="minorHAnsi" w:hAnsiTheme="minorHAnsi"/>
                <w:sz w:val="22"/>
                <w:szCs w:val="22"/>
              </w:rPr>
              <w:t>20,000</w:t>
            </w:r>
            <w:r w:rsidR="00E34038" w:rsidRPr="00CC376F">
              <w:rPr>
                <w:rFonts w:ascii="Rupee Foradian Standard Cool" w:hAnsi="Rupee Foradian Standard Cool"/>
                <w:sz w:val="22"/>
                <w:szCs w:val="22"/>
              </w:rPr>
              <w:t>/-</w:t>
            </w:r>
            <w:r w:rsidR="00E34038" w:rsidRPr="00CC376F">
              <w:rPr>
                <w:rFonts w:asciiTheme="minorHAnsi" w:hAnsiTheme="minorHAnsi"/>
                <w:sz w:val="22"/>
                <w:szCs w:val="22"/>
              </w:rPr>
              <w:t>p.m</w:t>
            </w:r>
            <w:r w:rsidR="00E34038" w:rsidRPr="00CC376F">
              <w:rPr>
                <w:rFonts w:ascii="Rupee Foradian Standard Cool" w:hAnsi="Rupee Foradian Standard Cool"/>
                <w:sz w:val="22"/>
                <w:szCs w:val="22"/>
              </w:rPr>
              <w:t>.</w:t>
            </w:r>
          </w:p>
          <w:p w:rsidR="0016761F" w:rsidRPr="00CC376F" w:rsidRDefault="00F9076A" w:rsidP="003F62D2">
            <w:pPr>
              <w:pStyle w:val="BodyText"/>
              <w:jc w:val="both"/>
              <w:rPr>
                <w:sz w:val="22"/>
                <w:szCs w:val="22"/>
              </w:rPr>
            </w:pPr>
            <w:r>
              <w:rPr>
                <w:sz w:val="22"/>
                <w:szCs w:val="22"/>
              </w:rPr>
              <w:t>+5</w:t>
            </w:r>
            <w:r w:rsidR="00E34038" w:rsidRPr="00CC376F">
              <w:rPr>
                <w:sz w:val="22"/>
                <w:szCs w:val="22"/>
              </w:rPr>
              <w:t>00</w:t>
            </w:r>
            <w:r w:rsidR="0016761F" w:rsidRPr="00CC376F">
              <w:rPr>
                <w:sz w:val="22"/>
                <w:szCs w:val="22"/>
              </w:rPr>
              <w:t>/-p.m.</w:t>
            </w:r>
            <w:r w:rsidR="00E34038" w:rsidRPr="00CC376F">
              <w:rPr>
                <w:sz w:val="22"/>
                <w:szCs w:val="22"/>
              </w:rPr>
              <w:t xml:space="preserve"> </w:t>
            </w:r>
            <w:r w:rsidR="0016761F" w:rsidRPr="00CC376F">
              <w:rPr>
                <w:sz w:val="22"/>
                <w:szCs w:val="22"/>
              </w:rPr>
              <w:t>towards furniture &amp; fixtures.</w:t>
            </w:r>
          </w:p>
        </w:tc>
        <w:tc>
          <w:tcPr>
            <w:tcW w:w="1842" w:type="dxa"/>
          </w:tcPr>
          <w:p w:rsidR="00ED4B10" w:rsidRDefault="00ED4B10" w:rsidP="003F62D2">
            <w:pPr>
              <w:pStyle w:val="BodyText"/>
              <w:jc w:val="both"/>
              <w:rPr>
                <w:rFonts w:asciiTheme="minorHAnsi" w:hAnsiTheme="minorHAnsi"/>
                <w:sz w:val="22"/>
                <w:szCs w:val="22"/>
              </w:rPr>
            </w:pPr>
          </w:p>
          <w:p w:rsidR="0016761F" w:rsidRPr="00ED4B10" w:rsidRDefault="00F9076A" w:rsidP="003F62D2">
            <w:pPr>
              <w:pStyle w:val="BodyText"/>
              <w:jc w:val="both"/>
              <w:rPr>
                <w:rFonts w:asciiTheme="minorHAnsi" w:hAnsiTheme="minorHAnsi"/>
                <w:sz w:val="22"/>
                <w:szCs w:val="22"/>
              </w:rPr>
            </w:pPr>
            <w:r>
              <w:rPr>
                <w:rFonts w:asciiTheme="minorHAnsi" w:hAnsiTheme="minorHAnsi"/>
                <w:sz w:val="22"/>
                <w:szCs w:val="22"/>
              </w:rPr>
              <w:t>4</w:t>
            </w:r>
            <w:r w:rsidR="0016761F" w:rsidRPr="00ED4B10">
              <w:rPr>
                <w:rFonts w:asciiTheme="minorHAnsi" w:hAnsiTheme="minorHAnsi"/>
                <w:sz w:val="22"/>
                <w:szCs w:val="22"/>
              </w:rPr>
              <w:t>0,000/-</w:t>
            </w:r>
          </w:p>
        </w:tc>
      </w:tr>
      <w:tr w:rsidR="0016761F" w:rsidRPr="00CC376F" w:rsidTr="00DC7A34">
        <w:tc>
          <w:tcPr>
            <w:tcW w:w="851" w:type="dxa"/>
          </w:tcPr>
          <w:p w:rsidR="0016761F" w:rsidRPr="00ED4B10" w:rsidRDefault="0016761F" w:rsidP="003F62D2">
            <w:pPr>
              <w:pStyle w:val="BodyText"/>
              <w:jc w:val="both"/>
              <w:rPr>
                <w:rFonts w:asciiTheme="minorHAnsi" w:hAnsiTheme="minorHAnsi"/>
                <w:sz w:val="22"/>
                <w:szCs w:val="22"/>
              </w:rPr>
            </w:pPr>
            <w:r w:rsidRPr="00ED4B10">
              <w:rPr>
                <w:rFonts w:asciiTheme="minorHAnsi" w:hAnsiTheme="minorHAnsi"/>
                <w:sz w:val="22"/>
                <w:szCs w:val="22"/>
              </w:rPr>
              <w:t>2.</w:t>
            </w:r>
          </w:p>
        </w:tc>
        <w:tc>
          <w:tcPr>
            <w:tcW w:w="2268" w:type="dxa"/>
          </w:tcPr>
          <w:p w:rsidR="0016761F" w:rsidRPr="00ED4B10" w:rsidRDefault="004A569B" w:rsidP="003F62D2">
            <w:pPr>
              <w:pStyle w:val="BodyText"/>
              <w:jc w:val="both"/>
              <w:rPr>
                <w:rFonts w:asciiTheme="minorHAnsi" w:hAnsiTheme="minorHAnsi"/>
                <w:sz w:val="22"/>
                <w:szCs w:val="22"/>
              </w:rPr>
            </w:pPr>
            <w:r w:rsidRPr="00ED4B10">
              <w:rPr>
                <w:rFonts w:asciiTheme="minorHAnsi" w:hAnsiTheme="minorHAnsi"/>
                <w:sz w:val="22"/>
                <w:szCs w:val="22"/>
              </w:rPr>
              <w:t>Mapusa</w:t>
            </w:r>
          </w:p>
        </w:tc>
        <w:tc>
          <w:tcPr>
            <w:tcW w:w="4111" w:type="dxa"/>
          </w:tcPr>
          <w:p w:rsidR="0016761F" w:rsidRPr="00CC376F" w:rsidRDefault="00F9076A" w:rsidP="003F62D2">
            <w:pPr>
              <w:pStyle w:val="BodyText"/>
              <w:jc w:val="both"/>
              <w:rPr>
                <w:sz w:val="22"/>
                <w:szCs w:val="22"/>
              </w:rPr>
            </w:pPr>
            <w:r>
              <w:rPr>
                <w:rFonts w:asciiTheme="minorHAnsi" w:hAnsiTheme="minorHAnsi"/>
                <w:sz w:val="22"/>
                <w:szCs w:val="22"/>
              </w:rPr>
              <w:t>50</w:t>
            </w:r>
            <w:r w:rsidR="00E34038" w:rsidRPr="00CC376F">
              <w:rPr>
                <w:rFonts w:asciiTheme="minorHAnsi" w:hAnsiTheme="minorHAnsi"/>
                <w:sz w:val="22"/>
                <w:szCs w:val="22"/>
              </w:rPr>
              <w:t>00</w:t>
            </w:r>
            <w:r w:rsidR="009A5EB3" w:rsidRPr="00CC376F">
              <w:rPr>
                <w:sz w:val="22"/>
                <w:szCs w:val="22"/>
              </w:rPr>
              <w:t>.</w:t>
            </w:r>
            <w:r w:rsidR="0016761F" w:rsidRPr="00CC376F">
              <w:rPr>
                <w:sz w:val="22"/>
                <w:szCs w:val="22"/>
              </w:rPr>
              <w:t>/-p.m.</w:t>
            </w:r>
          </w:p>
          <w:p w:rsidR="0016761F" w:rsidRPr="00CC376F" w:rsidRDefault="00F9076A" w:rsidP="003F62D2">
            <w:pPr>
              <w:pStyle w:val="BodyText"/>
              <w:jc w:val="both"/>
              <w:rPr>
                <w:sz w:val="22"/>
                <w:szCs w:val="22"/>
              </w:rPr>
            </w:pPr>
            <w:r>
              <w:rPr>
                <w:sz w:val="22"/>
                <w:szCs w:val="22"/>
              </w:rPr>
              <w:t>+ 5</w:t>
            </w:r>
            <w:r w:rsidR="0016761F" w:rsidRPr="00CC376F">
              <w:rPr>
                <w:sz w:val="22"/>
                <w:szCs w:val="22"/>
              </w:rPr>
              <w:t>00/- p.m.</w:t>
            </w:r>
            <w:r w:rsidR="00E34038" w:rsidRPr="00CC376F">
              <w:rPr>
                <w:sz w:val="22"/>
                <w:szCs w:val="22"/>
              </w:rPr>
              <w:t xml:space="preserve"> </w:t>
            </w:r>
            <w:r w:rsidR="0016761F" w:rsidRPr="00CC376F">
              <w:rPr>
                <w:sz w:val="22"/>
                <w:szCs w:val="22"/>
              </w:rPr>
              <w:t>towards furniture &amp; fixtures.</w:t>
            </w:r>
          </w:p>
        </w:tc>
        <w:tc>
          <w:tcPr>
            <w:tcW w:w="1842" w:type="dxa"/>
          </w:tcPr>
          <w:p w:rsidR="00ED4B10" w:rsidRDefault="00ED4B10" w:rsidP="003F62D2">
            <w:pPr>
              <w:pStyle w:val="BodyText"/>
              <w:jc w:val="both"/>
              <w:rPr>
                <w:rFonts w:asciiTheme="minorHAnsi" w:hAnsiTheme="minorHAnsi"/>
                <w:sz w:val="22"/>
                <w:szCs w:val="22"/>
              </w:rPr>
            </w:pPr>
          </w:p>
          <w:p w:rsidR="0016761F" w:rsidRPr="00ED4B10" w:rsidRDefault="00E34038" w:rsidP="003F62D2">
            <w:pPr>
              <w:pStyle w:val="BodyText"/>
              <w:jc w:val="both"/>
              <w:rPr>
                <w:rFonts w:asciiTheme="minorHAnsi" w:hAnsiTheme="minorHAnsi"/>
                <w:sz w:val="22"/>
                <w:szCs w:val="22"/>
              </w:rPr>
            </w:pPr>
            <w:r w:rsidRPr="00ED4B10">
              <w:rPr>
                <w:rFonts w:asciiTheme="minorHAnsi" w:hAnsiTheme="minorHAnsi"/>
                <w:sz w:val="22"/>
                <w:szCs w:val="22"/>
              </w:rPr>
              <w:t>10</w:t>
            </w:r>
            <w:r w:rsidR="0016761F" w:rsidRPr="00ED4B10">
              <w:rPr>
                <w:rFonts w:asciiTheme="minorHAnsi" w:hAnsiTheme="minorHAnsi"/>
                <w:sz w:val="22"/>
                <w:szCs w:val="22"/>
              </w:rPr>
              <w:t>,000/-</w:t>
            </w:r>
          </w:p>
        </w:tc>
      </w:tr>
      <w:tr w:rsidR="004D019B" w:rsidRPr="00CC376F" w:rsidTr="00DC7A34">
        <w:tc>
          <w:tcPr>
            <w:tcW w:w="851" w:type="dxa"/>
          </w:tcPr>
          <w:p w:rsidR="004D019B" w:rsidRPr="00ED4B10" w:rsidRDefault="004D019B" w:rsidP="003F62D2">
            <w:pPr>
              <w:pStyle w:val="BodyText"/>
              <w:jc w:val="both"/>
              <w:rPr>
                <w:rFonts w:asciiTheme="minorHAnsi" w:hAnsiTheme="minorHAnsi"/>
                <w:sz w:val="22"/>
                <w:szCs w:val="22"/>
              </w:rPr>
            </w:pPr>
            <w:r w:rsidRPr="00ED4B10">
              <w:rPr>
                <w:rFonts w:asciiTheme="minorHAnsi" w:hAnsiTheme="minorHAnsi"/>
                <w:sz w:val="22"/>
                <w:szCs w:val="22"/>
              </w:rPr>
              <w:t>3.</w:t>
            </w:r>
          </w:p>
        </w:tc>
        <w:tc>
          <w:tcPr>
            <w:tcW w:w="2268" w:type="dxa"/>
          </w:tcPr>
          <w:p w:rsidR="004D019B" w:rsidRPr="00ED4B10" w:rsidRDefault="00ED4B10" w:rsidP="0090622A">
            <w:pPr>
              <w:pStyle w:val="BodyText"/>
              <w:jc w:val="both"/>
              <w:rPr>
                <w:rFonts w:asciiTheme="minorHAnsi" w:hAnsiTheme="minorHAnsi"/>
                <w:sz w:val="22"/>
                <w:szCs w:val="22"/>
              </w:rPr>
            </w:pPr>
            <w:r w:rsidRPr="00ED4B10">
              <w:rPr>
                <w:rFonts w:asciiTheme="minorHAnsi" w:hAnsiTheme="minorHAnsi"/>
                <w:sz w:val="22"/>
                <w:szCs w:val="22"/>
              </w:rPr>
              <w:t>Thivim</w:t>
            </w:r>
            <w:r w:rsidR="004D019B" w:rsidRPr="00ED4B10">
              <w:rPr>
                <w:rFonts w:asciiTheme="minorHAnsi" w:hAnsiTheme="minorHAnsi"/>
                <w:sz w:val="22"/>
                <w:szCs w:val="22"/>
              </w:rPr>
              <w:t>-Canteen I</w:t>
            </w:r>
          </w:p>
        </w:tc>
        <w:tc>
          <w:tcPr>
            <w:tcW w:w="4111" w:type="dxa"/>
          </w:tcPr>
          <w:p w:rsidR="004D019B" w:rsidRPr="00CC376F" w:rsidRDefault="00F9076A" w:rsidP="0090622A">
            <w:pPr>
              <w:pStyle w:val="BodyText"/>
              <w:jc w:val="both"/>
              <w:rPr>
                <w:sz w:val="22"/>
                <w:szCs w:val="22"/>
              </w:rPr>
            </w:pPr>
            <w:r>
              <w:rPr>
                <w:sz w:val="22"/>
                <w:szCs w:val="22"/>
              </w:rPr>
              <w:t>5</w:t>
            </w:r>
            <w:r w:rsidR="004D019B" w:rsidRPr="00CC376F">
              <w:rPr>
                <w:sz w:val="22"/>
                <w:szCs w:val="22"/>
              </w:rPr>
              <w:t>000/- p.m.</w:t>
            </w:r>
          </w:p>
          <w:p w:rsidR="004D019B" w:rsidRPr="00CC376F" w:rsidRDefault="00F9076A" w:rsidP="0090622A">
            <w:pPr>
              <w:pStyle w:val="BodyText"/>
              <w:jc w:val="both"/>
              <w:rPr>
                <w:sz w:val="22"/>
                <w:szCs w:val="22"/>
              </w:rPr>
            </w:pPr>
            <w:r>
              <w:rPr>
                <w:sz w:val="22"/>
                <w:szCs w:val="22"/>
              </w:rPr>
              <w:t>+50</w:t>
            </w:r>
            <w:r w:rsidR="004D019B"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4D019B" w:rsidRPr="00ED4B10" w:rsidRDefault="004D019B" w:rsidP="0090622A">
            <w:pPr>
              <w:pStyle w:val="BodyText"/>
              <w:jc w:val="both"/>
              <w:rPr>
                <w:rFonts w:asciiTheme="minorHAnsi" w:hAnsiTheme="minorHAnsi"/>
                <w:sz w:val="22"/>
                <w:szCs w:val="22"/>
              </w:rPr>
            </w:pPr>
            <w:r w:rsidRPr="00ED4B10">
              <w:rPr>
                <w:rFonts w:asciiTheme="minorHAnsi" w:hAnsiTheme="minorHAnsi"/>
                <w:sz w:val="22"/>
                <w:szCs w:val="22"/>
              </w:rPr>
              <w:t>10,000/-</w:t>
            </w:r>
          </w:p>
        </w:tc>
      </w:tr>
      <w:tr w:rsidR="004D019B" w:rsidRPr="00CC376F" w:rsidTr="00DC7A34">
        <w:tc>
          <w:tcPr>
            <w:tcW w:w="851" w:type="dxa"/>
          </w:tcPr>
          <w:p w:rsidR="004D019B" w:rsidRPr="00ED4B10" w:rsidRDefault="004D019B" w:rsidP="003F62D2">
            <w:pPr>
              <w:pStyle w:val="BodyText"/>
              <w:jc w:val="both"/>
              <w:rPr>
                <w:rFonts w:asciiTheme="minorHAnsi" w:hAnsiTheme="minorHAnsi"/>
                <w:sz w:val="22"/>
                <w:szCs w:val="22"/>
              </w:rPr>
            </w:pPr>
            <w:r w:rsidRPr="00ED4B10">
              <w:rPr>
                <w:rFonts w:asciiTheme="minorHAnsi" w:hAnsiTheme="minorHAnsi"/>
                <w:sz w:val="22"/>
                <w:szCs w:val="22"/>
              </w:rPr>
              <w:t>4.</w:t>
            </w:r>
          </w:p>
        </w:tc>
        <w:tc>
          <w:tcPr>
            <w:tcW w:w="2268" w:type="dxa"/>
          </w:tcPr>
          <w:p w:rsidR="004D019B" w:rsidRPr="00ED4B10" w:rsidRDefault="004D019B" w:rsidP="0090622A">
            <w:pPr>
              <w:pStyle w:val="BodyText"/>
              <w:jc w:val="both"/>
              <w:rPr>
                <w:rFonts w:asciiTheme="minorHAnsi" w:hAnsiTheme="minorHAnsi"/>
                <w:sz w:val="22"/>
                <w:szCs w:val="22"/>
              </w:rPr>
            </w:pPr>
            <w:r w:rsidRPr="00ED4B10">
              <w:rPr>
                <w:rFonts w:asciiTheme="minorHAnsi" w:hAnsiTheme="minorHAnsi"/>
                <w:sz w:val="22"/>
                <w:szCs w:val="22"/>
              </w:rPr>
              <w:t>Tuem</w:t>
            </w:r>
          </w:p>
        </w:tc>
        <w:tc>
          <w:tcPr>
            <w:tcW w:w="4111" w:type="dxa"/>
          </w:tcPr>
          <w:p w:rsidR="004D019B" w:rsidRPr="00CC376F" w:rsidRDefault="004D019B" w:rsidP="0090622A">
            <w:pPr>
              <w:pStyle w:val="BodyText"/>
              <w:jc w:val="both"/>
              <w:rPr>
                <w:sz w:val="22"/>
                <w:szCs w:val="22"/>
              </w:rPr>
            </w:pPr>
            <w:r w:rsidRPr="00CC376F">
              <w:rPr>
                <w:sz w:val="22"/>
                <w:szCs w:val="22"/>
              </w:rPr>
              <w:t>5000/- p.m.</w:t>
            </w:r>
          </w:p>
          <w:p w:rsidR="004D019B" w:rsidRPr="00CC376F" w:rsidRDefault="004D019B" w:rsidP="00F9076A">
            <w:pPr>
              <w:pStyle w:val="BodyText"/>
              <w:jc w:val="both"/>
              <w:rPr>
                <w:sz w:val="22"/>
                <w:szCs w:val="22"/>
              </w:rPr>
            </w:pPr>
            <w:r w:rsidRPr="00CC376F">
              <w:rPr>
                <w:sz w:val="22"/>
                <w:szCs w:val="22"/>
              </w:rPr>
              <w:t>+</w:t>
            </w:r>
            <w:r w:rsidR="00F9076A">
              <w:rPr>
                <w:sz w:val="22"/>
                <w:szCs w:val="22"/>
              </w:rPr>
              <w:t>5</w:t>
            </w:r>
            <w:r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4D019B" w:rsidRPr="00ED4B10" w:rsidRDefault="00F9076A" w:rsidP="0090622A">
            <w:pPr>
              <w:pStyle w:val="BodyText"/>
              <w:jc w:val="both"/>
              <w:rPr>
                <w:rFonts w:asciiTheme="minorHAnsi" w:hAnsiTheme="minorHAnsi"/>
                <w:sz w:val="22"/>
                <w:szCs w:val="22"/>
              </w:rPr>
            </w:pPr>
            <w:r>
              <w:rPr>
                <w:rFonts w:asciiTheme="minorHAnsi" w:hAnsiTheme="minorHAnsi"/>
                <w:sz w:val="22"/>
                <w:szCs w:val="22"/>
              </w:rPr>
              <w:t>10</w:t>
            </w:r>
            <w:r w:rsidR="004D019B" w:rsidRPr="00ED4B10">
              <w:rPr>
                <w:rFonts w:asciiTheme="minorHAnsi" w:hAnsiTheme="minorHAnsi"/>
                <w:sz w:val="22"/>
                <w:szCs w:val="22"/>
              </w:rPr>
              <w:t>,000/-</w:t>
            </w:r>
          </w:p>
        </w:tc>
      </w:tr>
      <w:tr w:rsidR="000C217A" w:rsidRPr="00CC376F" w:rsidTr="00DC7A34">
        <w:tc>
          <w:tcPr>
            <w:tcW w:w="851"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5.</w:t>
            </w:r>
          </w:p>
        </w:tc>
        <w:tc>
          <w:tcPr>
            <w:tcW w:w="2268" w:type="dxa"/>
          </w:tcPr>
          <w:p w:rsidR="000C217A" w:rsidRPr="00ED4B10" w:rsidRDefault="000C217A" w:rsidP="0090622A">
            <w:pPr>
              <w:pStyle w:val="BodyText"/>
              <w:jc w:val="both"/>
              <w:rPr>
                <w:rFonts w:asciiTheme="minorHAnsi" w:hAnsiTheme="minorHAnsi"/>
                <w:sz w:val="22"/>
                <w:szCs w:val="22"/>
              </w:rPr>
            </w:pPr>
            <w:r w:rsidRPr="00ED4B10">
              <w:rPr>
                <w:rFonts w:asciiTheme="minorHAnsi" w:hAnsiTheme="minorHAnsi"/>
                <w:sz w:val="22"/>
                <w:szCs w:val="22"/>
              </w:rPr>
              <w:t>Honda-Canteen-I</w:t>
            </w:r>
          </w:p>
        </w:tc>
        <w:tc>
          <w:tcPr>
            <w:tcW w:w="4111" w:type="dxa"/>
          </w:tcPr>
          <w:p w:rsidR="000C217A" w:rsidRPr="00CC376F" w:rsidRDefault="000C217A" w:rsidP="0090622A">
            <w:pPr>
              <w:pStyle w:val="BodyText"/>
              <w:jc w:val="both"/>
              <w:rPr>
                <w:sz w:val="22"/>
                <w:szCs w:val="22"/>
              </w:rPr>
            </w:pPr>
            <w:r w:rsidRPr="00CC376F">
              <w:rPr>
                <w:sz w:val="22"/>
                <w:szCs w:val="22"/>
              </w:rPr>
              <w:t>5</w:t>
            </w:r>
            <w:r w:rsidR="00F9076A">
              <w:rPr>
                <w:sz w:val="22"/>
                <w:szCs w:val="22"/>
              </w:rPr>
              <w:t>0</w:t>
            </w:r>
            <w:r w:rsidRPr="00CC376F">
              <w:rPr>
                <w:sz w:val="22"/>
                <w:szCs w:val="22"/>
              </w:rPr>
              <w:t>00/- p.m.</w:t>
            </w:r>
          </w:p>
          <w:p w:rsidR="000C217A" w:rsidRPr="00CC376F" w:rsidRDefault="00F9076A" w:rsidP="0090622A">
            <w:pPr>
              <w:pStyle w:val="BodyText"/>
              <w:jc w:val="both"/>
              <w:rPr>
                <w:sz w:val="22"/>
                <w:szCs w:val="22"/>
              </w:rPr>
            </w:pPr>
            <w:r>
              <w:rPr>
                <w:sz w:val="22"/>
                <w:szCs w:val="22"/>
              </w:rPr>
              <w:t>+5</w:t>
            </w:r>
            <w:r w:rsidR="000C217A" w:rsidRPr="00CC376F">
              <w:rPr>
                <w:sz w:val="22"/>
                <w:szCs w:val="22"/>
              </w:rPr>
              <w:t>000/-p.m.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0C217A" w:rsidRPr="00ED4B10" w:rsidRDefault="00F9076A" w:rsidP="0090622A">
            <w:pPr>
              <w:pStyle w:val="BodyText"/>
              <w:jc w:val="both"/>
              <w:rPr>
                <w:rFonts w:asciiTheme="minorHAnsi" w:hAnsiTheme="minorHAnsi"/>
                <w:sz w:val="22"/>
                <w:szCs w:val="22"/>
              </w:rPr>
            </w:pPr>
            <w:r>
              <w:rPr>
                <w:rFonts w:asciiTheme="minorHAnsi" w:hAnsiTheme="minorHAnsi"/>
                <w:sz w:val="22"/>
                <w:szCs w:val="22"/>
              </w:rPr>
              <w:t>10</w:t>
            </w:r>
            <w:r w:rsidR="000C217A" w:rsidRPr="00ED4B10">
              <w:rPr>
                <w:rFonts w:asciiTheme="minorHAnsi" w:hAnsiTheme="minorHAnsi"/>
                <w:sz w:val="22"/>
                <w:szCs w:val="22"/>
              </w:rPr>
              <w:t>,000/-</w:t>
            </w:r>
          </w:p>
        </w:tc>
      </w:tr>
      <w:tr w:rsidR="000C217A" w:rsidRPr="00CC376F" w:rsidTr="00DC7A34">
        <w:tc>
          <w:tcPr>
            <w:tcW w:w="851"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6.</w:t>
            </w:r>
          </w:p>
        </w:tc>
        <w:tc>
          <w:tcPr>
            <w:tcW w:w="2268" w:type="dxa"/>
          </w:tcPr>
          <w:p w:rsidR="000C217A" w:rsidRPr="00ED4B10" w:rsidRDefault="000C217A" w:rsidP="0090622A">
            <w:pPr>
              <w:pStyle w:val="BodyText"/>
              <w:jc w:val="both"/>
              <w:rPr>
                <w:rFonts w:asciiTheme="minorHAnsi" w:hAnsiTheme="minorHAnsi"/>
                <w:sz w:val="22"/>
                <w:szCs w:val="22"/>
              </w:rPr>
            </w:pPr>
            <w:r w:rsidRPr="00ED4B10">
              <w:rPr>
                <w:rFonts w:asciiTheme="minorHAnsi" w:hAnsiTheme="minorHAnsi"/>
                <w:sz w:val="22"/>
                <w:szCs w:val="22"/>
              </w:rPr>
              <w:t>Honda-Canteen-II</w:t>
            </w:r>
          </w:p>
        </w:tc>
        <w:tc>
          <w:tcPr>
            <w:tcW w:w="4111" w:type="dxa"/>
          </w:tcPr>
          <w:p w:rsidR="000C217A" w:rsidRPr="00CC376F" w:rsidRDefault="00F9076A" w:rsidP="0090622A">
            <w:pPr>
              <w:pStyle w:val="BodyText"/>
              <w:jc w:val="both"/>
              <w:rPr>
                <w:sz w:val="22"/>
                <w:szCs w:val="22"/>
              </w:rPr>
            </w:pPr>
            <w:r>
              <w:rPr>
                <w:sz w:val="22"/>
                <w:szCs w:val="22"/>
              </w:rPr>
              <w:t>5</w:t>
            </w:r>
            <w:r w:rsidR="000C217A" w:rsidRPr="00CC376F">
              <w:rPr>
                <w:sz w:val="22"/>
                <w:szCs w:val="22"/>
              </w:rPr>
              <w:t>000/- p.m.</w:t>
            </w:r>
          </w:p>
          <w:p w:rsidR="000C217A" w:rsidRPr="00CC376F" w:rsidRDefault="00F9076A" w:rsidP="0090622A">
            <w:pPr>
              <w:pStyle w:val="BodyText"/>
              <w:jc w:val="both"/>
              <w:rPr>
                <w:sz w:val="22"/>
                <w:szCs w:val="22"/>
              </w:rPr>
            </w:pPr>
            <w:r>
              <w:rPr>
                <w:sz w:val="22"/>
                <w:szCs w:val="22"/>
              </w:rPr>
              <w:t>+5</w:t>
            </w:r>
            <w:r w:rsidR="000C217A"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0C217A" w:rsidRPr="00ED4B10" w:rsidRDefault="000C217A" w:rsidP="0090622A">
            <w:pPr>
              <w:pStyle w:val="BodyText"/>
              <w:jc w:val="both"/>
              <w:rPr>
                <w:rFonts w:asciiTheme="minorHAnsi" w:hAnsiTheme="minorHAnsi"/>
                <w:sz w:val="22"/>
                <w:szCs w:val="22"/>
              </w:rPr>
            </w:pPr>
            <w:r w:rsidRPr="00ED4B10">
              <w:rPr>
                <w:rFonts w:asciiTheme="minorHAnsi" w:hAnsiTheme="minorHAnsi"/>
                <w:sz w:val="22"/>
                <w:szCs w:val="22"/>
              </w:rPr>
              <w:t>10,000/-</w:t>
            </w:r>
          </w:p>
        </w:tc>
      </w:tr>
      <w:tr w:rsidR="000C217A" w:rsidRPr="00CC376F" w:rsidTr="00DC7A34">
        <w:tc>
          <w:tcPr>
            <w:tcW w:w="851"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7.</w:t>
            </w:r>
          </w:p>
        </w:tc>
        <w:tc>
          <w:tcPr>
            <w:tcW w:w="2268"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Verna Canteen I</w:t>
            </w:r>
          </w:p>
        </w:tc>
        <w:tc>
          <w:tcPr>
            <w:tcW w:w="4111" w:type="dxa"/>
          </w:tcPr>
          <w:p w:rsidR="000C217A" w:rsidRPr="00CC376F" w:rsidRDefault="000C217A" w:rsidP="003F62D2">
            <w:pPr>
              <w:pStyle w:val="BodyText"/>
              <w:jc w:val="both"/>
              <w:rPr>
                <w:sz w:val="22"/>
                <w:szCs w:val="22"/>
              </w:rPr>
            </w:pPr>
            <w:r w:rsidRPr="00CC376F">
              <w:rPr>
                <w:rFonts w:asciiTheme="minorHAnsi" w:hAnsiTheme="minorHAnsi"/>
                <w:sz w:val="22"/>
                <w:szCs w:val="22"/>
              </w:rPr>
              <w:t>5000</w:t>
            </w:r>
            <w:r w:rsidRPr="00CC376F">
              <w:rPr>
                <w:sz w:val="22"/>
                <w:szCs w:val="22"/>
              </w:rPr>
              <w:t>/-p.m.</w:t>
            </w:r>
          </w:p>
          <w:p w:rsidR="000C217A" w:rsidRPr="00CC376F" w:rsidRDefault="00F9076A" w:rsidP="00912E17">
            <w:pPr>
              <w:pStyle w:val="BodyText"/>
              <w:jc w:val="both"/>
              <w:rPr>
                <w:sz w:val="22"/>
                <w:szCs w:val="22"/>
              </w:rPr>
            </w:pPr>
            <w:r>
              <w:rPr>
                <w:sz w:val="22"/>
                <w:szCs w:val="22"/>
              </w:rPr>
              <w:t>+50</w:t>
            </w:r>
            <w:r w:rsidR="000C217A" w:rsidRPr="00CC376F">
              <w:rPr>
                <w:sz w:val="22"/>
                <w:szCs w:val="22"/>
              </w:rPr>
              <w:t>0/-</w:t>
            </w:r>
            <w:r w:rsidR="00ED4B10" w:rsidRPr="00CC376F">
              <w:rPr>
                <w:sz w:val="22"/>
                <w:szCs w:val="22"/>
              </w:rPr>
              <w:t>p.m.</w:t>
            </w:r>
            <w:r w:rsidR="000C217A" w:rsidRPr="00CC376F">
              <w:rPr>
                <w:sz w:val="22"/>
                <w:szCs w:val="22"/>
              </w:rPr>
              <w:t xml:space="preserve"> towards furniture &amp; fixtures.</w:t>
            </w:r>
          </w:p>
        </w:tc>
        <w:tc>
          <w:tcPr>
            <w:tcW w:w="1842" w:type="dxa"/>
          </w:tcPr>
          <w:p w:rsidR="00ED4B10" w:rsidRDefault="00ED4B10" w:rsidP="003F62D2">
            <w:pPr>
              <w:pStyle w:val="BodyText"/>
              <w:jc w:val="both"/>
              <w:rPr>
                <w:rFonts w:asciiTheme="minorHAnsi" w:hAnsiTheme="minorHAnsi"/>
                <w:sz w:val="22"/>
                <w:szCs w:val="22"/>
              </w:rPr>
            </w:pPr>
          </w:p>
          <w:p w:rsidR="000C217A" w:rsidRPr="00ED4B10" w:rsidRDefault="00F9076A" w:rsidP="003F62D2">
            <w:pPr>
              <w:pStyle w:val="BodyText"/>
              <w:jc w:val="both"/>
              <w:rPr>
                <w:rFonts w:asciiTheme="minorHAnsi" w:hAnsiTheme="minorHAnsi"/>
                <w:sz w:val="22"/>
                <w:szCs w:val="22"/>
              </w:rPr>
            </w:pPr>
            <w:r>
              <w:rPr>
                <w:rFonts w:asciiTheme="minorHAnsi" w:hAnsiTheme="minorHAnsi"/>
                <w:sz w:val="22"/>
                <w:szCs w:val="22"/>
              </w:rPr>
              <w:t>10</w:t>
            </w:r>
            <w:r w:rsidR="000C217A" w:rsidRPr="00ED4B10">
              <w:rPr>
                <w:rFonts w:asciiTheme="minorHAnsi" w:hAnsiTheme="minorHAnsi"/>
                <w:sz w:val="22"/>
                <w:szCs w:val="22"/>
              </w:rPr>
              <w:t>,000/-</w:t>
            </w:r>
          </w:p>
        </w:tc>
      </w:tr>
      <w:tr w:rsidR="000C217A" w:rsidRPr="00CC376F" w:rsidTr="00DC7A34">
        <w:tc>
          <w:tcPr>
            <w:tcW w:w="851"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8.</w:t>
            </w:r>
          </w:p>
        </w:tc>
        <w:tc>
          <w:tcPr>
            <w:tcW w:w="2268"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Sancoale Canteen II</w:t>
            </w:r>
          </w:p>
        </w:tc>
        <w:tc>
          <w:tcPr>
            <w:tcW w:w="4111" w:type="dxa"/>
          </w:tcPr>
          <w:p w:rsidR="00F9076A" w:rsidRDefault="00F9076A" w:rsidP="003F62D2">
            <w:pPr>
              <w:pStyle w:val="BodyText"/>
              <w:jc w:val="both"/>
              <w:rPr>
                <w:rFonts w:asciiTheme="minorHAnsi" w:hAnsiTheme="minorHAnsi"/>
                <w:sz w:val="22"/>
                <w:szCs w:val="22"/>
              </w:rPr>
            </w:pPr>
            <w:r>
              <w:rPr>
                <w:rFonts w:asciiTheme="minorHAnsi" w:hAnsiTheme="minorHAnsi"/>
                <w:sz w:val="22"/>
                <w:szCs w:val="22"/>
              </w:rPr>
              <w:t>50</w:t>
            </w:r>
            <w:r w:rsidR="000C217A" w:rsidRPr="00CC376F">
              <w:rPr>
                <w:rFonts w:asciiTheme="minorHAnsi" w:hAnsiTheme="minorHAnsi"/>
                <w:sz w:val="22"/>
                <w:szCs w:val="22"/>
              </w:rPr>
              <w:t>00/-</w:t>
            </w:r>
            <w:r>
              <w:rPr>
                <w:rFonts w:asciiTheme="minorHAnsi" w:hAnsiTheme="minorHAnsi"/>
                <w:sz w:val="22"/>
                <w:szCs w:val="22"/>
              </w:rPr>
              <w:t xml:space="preserve">+ </w:t>
            </w:r>
          </w:p>
          <w:p w:rsidR="000C217A" w:rsidRPr="00CC376F" w:rsidRDefault="00F9076A" w:rsidP="003F62D2">
            <w:pPr>
              <w:pStyle w:val="BodyText"/>
              <w:jc w:val="both"/>
              <w:rPr>
                <w:rFonts w:asciiTheme="minorHAnsi" w:hAnsiTheme="minorHAnsi"/>
                <w:sz w:val="22"/>
                <w:szCs w:val="22"/>
              </w:rPr>
            </w:pPr>
            <w:r>
              <w:rPr>
                <w:rFonts w:asciiTheme="minorHAnsi" w:hAnsiTheme="minorHAnsi"/>
                <w:sz w:val="22"/>
                <w:szCs w:val="22"/>
              </w:rPr>
              <w:t>5</w:t>
            </w:r>
            <w:r w:rsidR="00ED4B10">
              <w:rPr>
                <w:rFonts w:asciiTheme="minorHAnsi" w:hAnsiTheme="minorHAnsi"/>
                <w:sz w:val="22"/>
                <w:szCs w:val="22"/>
              </w:rPr>
              <w:t>00/-p.m. towards   furniture &amp; fixtures</w:t>
            </w:r>
          </w:p>
        </w:tc>
        <w:tc>
          <w:tcPr>
            <w:tcW w:w="1842" w:type="dxa"/>
          </w:tcPr>
          <w:p w:rsidR="00ED4B10" w:rsidRDefault="00ED4B10" w:rsidP="003F62D2">
            <w:pPr>
              <w:pStyle w:val="BodyText"/>
              <w:jc w:val="both"/>
              <w:rPr>
                <w:rFonts w:asciiTheme="minorHAnsi" w:hAnsiTheme="minorHAnsi"/>
                <w:sz w:val="22"/>
                <w:szCs w:val="22"/>
              </w:rPr>
            </w:pPr>
          </w:p>
          <w:p w:rsidR="000C217A" w:rsidRPr="00ED4B10" w:rsidRDefault="00E72DC7" w:rsidP="003F62D2">
            <w:pPr>
              <w:pStyle w:val="BodyText"/>
              <w:jc w:val="both"/>
              <w:rPr>
                <w:rFonts w:asciiTheme="minorHAnsi" w:hAnsiTheme="minorHAnsi"/>
                <w:sz w:val="22"/>
                <w:szCs w:val="22"/>
              </w:rPr>
            </w:pPr>
            <w:r w:rsidRPr="00ED4B10">
              <w:rPr>
                <w:rFonts w:asciiTheme="minorHAnsi" w:hAnsiTheme="minorHAnsi"/>
                <w:sz w:val="22"/>
                <w:szCs w:val="22"/>
              </w:rPr>
              <w:t>1</w:t>
            </w:r>
            <w:r w:rsidR="000C217A" w:rsidRPr="00ED4B10">
              <w:rPr>
                <w:rFonts w:asciiTheme="minorHAnsi" w:hAnsiTheme="minorHAnsi"/>
                <w:sz w:val="22"/>
                <w:szCs w:val="22"/>
              </w:rPr>
              <w:t>0,000/-</w:t>
            </w:r>
          </w:p>
        </w:tc>
      </w:tr>
      <w:tr w:rsidR="000C217A" w:rsidRPr="00CC376F" w:rsidTr="00DC7A34">
        <w:tc>
          <w:tcPr>
            <w:tcW w:w="851" w:type="dxa"/>
          </w:tcPr>
          <w:p w:rsidR="000C217A" w:rsidRPr="00ED4B10" w:rsidRDefault="000C217A" w:rsidP="003F62D2">
            <w:pPr>
              <w:pStyle w:val="BodyText"/>
              <w:jc w:val="both"/>
              <w:rPr>
                <w:rFonts w:asciiTheme="minorHAnsi" w:hAnsiTheme="minorHAnsi"/>
                <w:sz w:val="22"/>
                <w:szCs w:val="22"/>
              </w:rPr>
            </w:pPr>
            <w:r w:rsidRPr="00ED4B10">
              <w:rPr>
                <w:rFonts w:asciiTheme="minorHAnsi" w:hAnsiTheme="minorHAnsi"/>
                <w:sz w:val="22"/>
                <w:szCs w:val="22"/>
              </w:rPr>
              <w:t>9.</w:t>
            </w:r>
          </w:p>
        </w:tc>
        <w:tc>
          <w:tcPr>
            <w:tcW w:w="2268" w:type="dxa"/>
          </w:tcPr>
          <w:p w:rsidR="000C217A" w:rsidRPr="00ED4B10" w:rsidRDefault="000C217A" w:rsidP="0090622A">
            <w:pPr>
              <w:pStyle w:val="BodyText"/>
              <w:jc w:val="both"/>
              <w:rPr>
                <w:rFonts w:asciiTheme="minorHAnsi" w:hAnsiTheme="minorHAnsi"/>
                <w:sz w:val="22"/>
                <w:szCs w:val="22"/>
              </w:rPr>
            </w:pPr>
            <w:r w:rsidRPr="00ED4B10">
              <w:rPr>
                <w:rFonts w:asciiTheme="minorHAnsi" w:hAnsiTheme="minorHAnsi"/>
                <w:sz w:val="22"/>
                <w:szCs w:val="22"/>
              </w:rPr>
              <w:t>Bethora</w:t>
            </w:r>
          </w:p>
        </w:tc>
        <w:tc>
          <w:tcPr>
            <w:tcW w:w="4111" w:type="dxa"/>
          </w:tcPr>
          <w:p w:rsidR="000C217A" w:rsidRPr="00CC376F" w:rsidRDefault="000C217A" w:rsidP="0090622A">
            <w:pPr>
              <w:pStyle w:val="BodyText"/>
              <w:jc w:val="both"/>
              <w:rPr>
                <w:sz w:val="22"/>
                <w:szCs w:val="22"/>
              </w:rPr>
            </w:pPr>
            <w:r w:rsidRPr="00CC376F">
              <w:rPr>
                <w:rFonts w:asciiTheme="minorHAnsi" w:hAnsiTheme="minorHAnsi"/>
                <w:sz w:val="22"/>
                <w:szCs w:val="22"/>
              </w:rPr>
              <w:t>5</w:t>
            </w:r>
            <w:r w:rsidR="00F9076A">
              <w:rPr>
                <w:rFonts w:asciiTheme="minorHAnsi" w:hAnsiTheme="minorHAnsi"/>
                <w:sz w:val="22"/>
                <w:szCs w:val="22"/>
              </w:rPr>
              <w:t>0</w:t>
            </w:r>
            <w:r w:rsidRPr="00CC376F">
              <w:rPr>
                <w:rFonts w:asciiTheme="minorHAnsi" w:hAnsiTheme="minorHAnsi"/>
                <w:sz w:val="22"/>
                <w:szCs w:val="22"/>
              </w:rPr>
              <w:t>00</w:t>
            </w:r>
            <w:r w:rsidRPr="00CC376F">
              <w:rPr>
                <w:sz w:val="22"/>
                <w:szCs w:val="22"/>
              </w:rPr>
              <w:t>/-</w:t>
            </w:r>
            <w:r w:rsidR="00ED4B10" w:rsidRPr="00CC376F">
              <w:rPr>
                <w:sz w:val="22"/>
                <w:szCs w:val="22"/>
              </w:rPr>
              <w:t>p.m.</w:t>
            </w:r>
          </w:p>
          <w:p w:rsidR="000C217A" w:rsidRPr="00CC376F" w:rsidRDefault="00F9076A" w:rsidP="0090622A">
            <w:pPr>
              <w:pStyle w:val="BodyText"/>
              <w:jc w:val="both"/>
              <w:rPr>
                <w:sz w:val="22"/>
                <w:szCs w:val="22"/>
              </w:rPr>
            </w:pPr>
            <w:r>
              <w:rPr>
                <w:sz w:val="22"/>
                <w:szCs w:val="22"/>
              </w:rPr>
              <w:t>+5</w:t>
            </w:r>
            <w:r w:rsidR="000C217A"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0C217A" w:rsidRPr="00ED4B10" w:rsidRDefault="00F9076A" w:rsidP="0090622A">
            <w:pPr>
              <w:pStyle w:val="BodyText"/>
              <w:jc w:val="both"/>
              <w:rPr>
                <w:rFonts w:asciiTheme="minorHAnsi" w:hAnsiTheme="minorHAnsi"/>
                <w:sz w:val="22"/>
                <w:szCs w:val="22"/>
              </w:rPr>
            </w:pPr>
            <w:r>
              <w:rPr>
                <w:rFonts w:asciiTheme="minorHAnsi" w:hAnsiTheme="minorHAnsi"/>
                <w:sz w:val="22"/>
                <w:szCs w:val="22"/>
              </w:rPr>
              <w:t>1</w:t>
            </w:r>
            <w:r w:rsidR="000C217A" w:rsidRPr="00ED4B10">
              <w:rPr>
                <w:rFonts w:asciiTheme="minorHAnsi" w:hAnsiTheme="minorHAnsi"/>
                <w:sz w:val="22"/>
                <w:szCs w:val="22"/>
              </w:rPr>
              <w:t>0,000</w:t>
            </w:r>
          </w:p>
        </w:tc>
      </w:tr>
      <w:tr w:rsidR="00613DFC" w:rsidRPr="00CC376F" w:rsidTr="00DC7A34">
        <w:tc>
          <w:tcPr>
            <w:tcW w:w="851"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10</w:t>
            </w:r>
          </w:p>
        </w:tc>
        <w:tc>
          <w:tcPr>
            <w:tcW w:w="2268" w:type="dxa"/>
          </w:tcPr>
          <w:p w:rsidR="00613DFC" w:rsidRPr="00ED4B10" w:rsidRDefault="00613DFC" w:rsidP="0090622A">
            <w:pPr>
              <w:pStyle w:val="BodyText"/>
              <w:jc w:val="both"/>
              <w:rPr>
                <w:rFonts w:asciiTheme="minorHAnsi" w:hAnsiTheme="minorHAnsi"/>
                <w:sz w:val="22"/>
                <w:szCs w:val="22"/>
              </w:rPr>
            </w:pPr>
            <w:r w:rsidRPr="00ED4B10">
              <w:rPr>
                <w:rFonts w:asciiTheme="minorHAnsi" w:hAnsiTheme="minorHAnsi"/>
                <w:sz w:val="22"/>
                <w:szCs w:val="22"/>
              </w:rPr>
              <w:t>Kundaim</w:t>
            </w:r>
            <w:r w:rsidR="00D75769" w:rsidRPr="00ED4B10">
              <w:rPr>
                <w:rFonts w:asciiTheme="minorHAnsi" w:hAnsiTheme="minorHAnsi"/>
                <w:sz w:val="22"/>
                <w:szCs w:val="22"/>
              </w:rPr>
              <w:t>-Canteen II</w:t>
            </w:r>
          </w:p>
        </w:tc>
        <w:tc>
          <w:tcPr>
            <w:tcW w:w="4111" w:type="dxa"/>
          </w:tcPr>
          <w:p w:rsidR="00613DFC" w:rsidRPr="00CC376F" w:rsidRDefault="00F9076A" w:rsidP="0090622A">
            <w:pPr>
              <w:pStyle w:val="BodyText"/>
              <w:jc w:val="both"/>
              <w:rPr>
                <w:sz w:val="22"/>
                <w:szCs w:val="22"/>
              </w:rPr>
            </w:pPr>
            <w:r>
              <w:rPr>
                <w:sz w:val="22"/>
                <w:szCs w:val="22"/>
              </w:rPr>
              <w:t>5000</w:t>
            </w:r>
            <w:r w:rsidR="00613DFC" w:rsidRPr="00CC376F">
              <w:rPr>
                <w:sz w:val="22"/>
                <w:szCs w:val="22"/>
              </w:rPr>
              <w:t>/- p.m.</w:t>
            </w:r>
          </w:p>
          <w:p w:rsidR="00613DFC" w:rsidRPr="00CC376F" w:rsidRDefault="00F9076A" w:rsidP="0090622A">
            <w:pPr>
              <w:pStyle w:val="BodyText"/>
              <w:jc w:val="both"/>
              <w:rPr>
                <w:sz w:val="22"/>
                <w:szCs w:val="22"/>
              </w:rPr>
            </w:pPr>
            <w:r>
              <w:rPr>
                <w:sz w:val="22"/>
                <w:szCs w:val="22"/>
              </w:rPr>
              <w:t>+5</w:t>
            </w:r>
            <w:r w:rsidR="00613DFC"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613DFC" w:rsidRPr="00ED4B10" w:rsidRDefault="00F9076A" w:rsidP="0090622A">
            <w:pPr>
              <w:pStyle w:val="BodyText"/>
              <w:jc w:val="both"/>
              <w:rPr>
                <w:rFonts w:asciiTheme="minorHAnsi" w:hAnsiTheme="minorHAnsi"/>
                <w:sz w:val="22"/>
                <w:szCs w:val="22"/>
              </w:rPr>
            </w:pPr>
            <w:r>
              <w:rPr>
                <w:rFonts w:asciiTheme="minorHAnsi" w:hAnsiTheme="minorHAnsi"/>
                <w:sz w:val="22"/>
                <w:szCs w:val="22"/>
              </w:rPr>
              <w:t>1</w:t>
            </w:r>
            <w:r w:rsidR="00613DFC" w:rsidRPr="00ED4B10">
              <w:rPr>
                <w:rFonts w:asciiTheme="minorHAnsi" w:hAnsiTheme="minorHAnsi"/>
                <w:sz w:val="22"/>
                <w:szCs w:val="22"/>
              </w:rPr>
              <w:t>0,000/-</w:t>
            </w:r>
          </w:p>
        </w:tc>
      </w:tr>
      <w:tr w:rsidR="00613DFC" w:rsidRPr="00CC376F" w:rsidTr="00DC7A34">
        <w:tc>
          <w:tcPr>
            <w:tcW w:w="851"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11.</w:t>
            </w:r>
          </w:p>
        </w:tc>
        <w:tc>
          <w:tcPr>
            <w:tcW w:w="2268"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Margao-Canteen I</w:t>
            </w:r>
          </w:p>
        </w:tc>
        <w:tc>
          <w:tcPr>
            <w:tcW w:w="4111" w:type="dxa"/>
          </w:tcPr>
          <w:p w:rsidR="00613DFC" w:rsidRPr="00CC376F" w:rsidRDefault="00F9076A" w:rsidP="003F62D2">
            <w:pPr>
              <w:pStyle w:val="BodyText"/>
              <w:jc w:val="both"/>
              <w:rPr>
                <w:sz w:val="22"/>
                <w:szCs w:val="22"/>
              </w:rPr>
            </w:pPr>
            <w:r>
              <w:rPr>
                <w:sz w:val="22"/>
                <w:szCs w:val="22"/>
              </w:rPr>
              <w:t>50</w:t>
            </w:r>
            <w:r w:rsidR="00613DFC" w:rsidRPr="00CC376F">
              <w:rPr>
                <w:sz w:val="22"/>
                <w:szCs w:val="22"/>
              </w:rPr>
              <w:t xml:space="preserve">00/-p.m. </w:t>
            </w:r>
          </w:p>
          <w:p w:rsidR="00613DFC" w:rsidRPr="00CC376F" w:rsidRDefault="00F9076A" w:rsidP="003F62D2">
            <w:pPr>
              <w:pStyle w:val="BodyText"/>
              <w:jc w:val="both"/>
              <w:rPr>
                <w:sz w:val="22"/>
                <w:szCs w:val="22"/>
              </w:rPr>
            </w:pPr>
            <w:r>
              <w:rPr>
                <w:sz w:val="22"/>
                <w:szCs w:val="22"/>
              </w:rPr>
              <w:t>+5</w:t>
            </w:r>
            <w:r w:rsidR="00613DFC" w:rsidRPr="00CC376F">
              <w:rPr>
                <w:sz w:val="22"/>
                <w:szCs w:val="22"/>
              </w:rPr>
              <w:t>00/- p.m. towards furniture &amp; fixtures.</w:t>
            </w:r>
          </w:p>
        </w:tc>
        <w:tc>
          <w:tcPr>
            <w:tcW w:w="1842" w:type="dxa"/>
          </w:tcPr>
          <w:p w:rsidR="00ED4B10" w:rsidRDefault="00ED4B10" w:rsidP="003F62D2">
            <w:pPr>
              <w:pStyle w:val="BodyText"/>
              <w:jc w:val="both"/>
              <w:rPr>
                <w:rFonts w:asciiTheme="minorHAnsi" w:hAnsiTheme="minorHAnsi"/>
                <w:sz w:val="22"/>
                <w:szCs w:val="22"/>
              </w:rPr>
            </w:pPr>
          </w:p>
          <w:p w:rsidR="00613DFC" w:rsidRPr="00ED4B10" w:rsidRDefault="00ED4B10" w:rsidP="003F62D2">
            <w:pPr>
              <w:pStyle w:val="BodyText"/>
              <w:jc w:val="both"/>
              <w:rPr>
                <w:rFonts w:asciiTheme="minorHAnsi" w:hAnsiTheme="minorHAnsi"/>
                <w:sz w:val="22"/>
                <w:szCs w:val="22"/>
              </w:rPr>
            </w:pPr>
            <w:r>
              <w:rPr>
                <w:rFonts w:asciiTheme="minorHAnsi" w:hAnsiTheme="minorHAnsi"/>
                <w:sz w:val="22"/>
                <w:szCs w:val="22"/>
              </w:rPr>
              <w:t>1</w:t>
            </w:r>
            <w:r w:rsidR="00613DFC" w:rsidRPr="00ED4B10">
              <w:rPr>
                <w:rFonts w:asciiTheme="minorHAnsi" w:hAnsiTheme="minorHAnsi"/>
                <w:sz w:val="22"/>
                <w:szCs w:val="22"/>
              </w:rPr>
              <w:t>0,000/-</w:t>
            </w:r>
          </w:p>
        </w:tc>
      </w:tr>
      <w:tr w:rsidR="00613DFC" w:rsidRPr="00CC376F" w:rsidTr="00DC7A34">
        <w:tc>
          <w:tcPr>
            <w:tcW w:w="851"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12.</w:t>
            </w:r>
          </w:p>
        </w:tc>
        <w:tc>
          <w:tcPr>
            <w:tcW w:w="2268"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Margao-Canteen II</w:t>
            </w:r>
          </w:p>
        </w:tc>
        <w:tc>
          <w:tcPr>
            <w:tcW w:w="4111" w:type="dxa"/>
          </w:tcPr>
          <w:p w:rsidR="00613DFC" w:rsidRPr="00CC376F" w:rsidRDefault="00F9076A" w:rsidP="003F62D2">
            <w:pPr>
              <w:pStyle w:val="BodyText"/>
              <w:jc w:val="both"/>
              <w:rPr>
                <w:sz w:val="22"/>
                <w:szCs w:val="22"/>
              </w:rPr>
            </w:pPr>
            <w:r>
              <w:rPr>
                <w:sz w:val="22"/>
                <w:szCs w:val="22"/>
              </w:rPr>
              <w:t>5</w:t>
            </w:r>
            <w:r w:rsidR="00613DFC" w:rsidRPr="00CC376F">
              <w:rPr>
                <w:sz w:val="22"/>
                <w:szCs w:val="22"/>
              </w:rPr>
              <w:t>000/-p.m.</w:t>
            </w:r>
          </w:p>
          <w:p w:rsidR="00613DFC" w:rsidRPr="00CC376F" w:rsidRDefault="00613DFC" w:rsidP="00F9076A">
            <w:pPr>
              <w:pStyle w:val="BodyText"/>
              <w:jc w:val="both"/>
              <w:rPr>
                <w:sz w:val="22"/>
                <w:szCs w:val="22"/>
              </w:rPr>
            </w:pPr>
            <w:r w:rsidRPr="00CC376F">
              <w:rPr>
                <w:sz w:val="22"/>
                <w:szCs w:val="22"/>
              </w:rPr>
              <w:t>+500/-p.m. towards furniture &amp; fixture</w:t>
            </w:r>
          </w:p>
        </w:tc>
        <w:tc>
          <w:tcPr>
            <w:tcW w:w="1842" w:type="dxa"/>
          </w:tcPr>
          <w:p w:rsidR="00ED4B10" w:rsidRDefault="00ED4B10" w:rsidP="003F62D2">
            <w:pPr>
              <w:pStyle w:val="BodyText"/>
              <w:jc w:val="both"/>
              <w:rPr>
                <w:rFonts w:asciiTheme="minorHAnsi" w:hAnsiTheme="minorHAnsi"/>
                <w:sz w:val="22"/>
                <w:szCs w:val="22"/>
              </w:rPr>
            </w:pPr>
          </w:p>
          <w:p w:rsidR="00613DFC" w:rsidRPr="00ED4B10" w:rsidRDefault="00F9076A" w:rsidP="003F62D2">
            <w:pPr>
              <w:pStyle w:val="BodyText"/>
              <w:jc w:val="both"/>
              <w:rPr>
                <w:rFonts w:asciiTheme="minorHAnsi" w:hAnsiTheme="minorHAnsi"/>
                <w:sz w:val="22"/>
                <w:szCs w:val="22"/>
              </w:rPr>
            </w:pPr>
            <w:r>
              <w:rPr>
                <w:rFonts w:asciiTheme="minorHAnsi" w:hAnsiTheme="minorHAnsi"/>
                <w:sz w:val="22"/>
                <w:szCs w:val="22"/>
              </w:rPr>
              <w:t>1</w:t>
            </w:r>
            <w:r w:rsidR="00613DFC" w:rsidRPr="00ED4B10">
              <w:rPr>
                <w:rFonts w:asciiTheme="minorHAnsi" w:hAnsiTheme="minorHAnsi"/>
                <w:sz w:val="22"/>
                <w:szCs w:val="22"/>
              </w:rPr>
              <w:t>0,000/-</w:t>
            </w:r>
          </w:p>
        </w:tc>
      </w:tr>
      <w:tr w:rsidR="00613DFC" w:rsidRPr="00CC376F" w:rsidTr="00DC7A34">
        <w:tc>
          <w:tcPr>
            <w:tcW w:w="851" w:type="dxa"/>
          </w:tcPr>
          <w:p w:rsidR="00613DFC" w:rsidRPr="00ED4B10" w:rsidRDefault="00D75769" w:rsidP="003F62D2">
            <w:pPr>
              <w:pStyle w:val="BodyText"/>
              <w:jc w:val="both"/>
              <w:rPr>
                <w:rFonts w:asciiTheme="minorHAnsi" w:hAnsiTheme="minorHAnsi"/>
                <w:sz w:val="22"/>
                <w:szCs w:val="22"/>
              </w:rPr>
            </w:pPr>
            <w:r w:rsidRPr="00ED4B10">
              <w:rPr>
                <w:rFonts w:asciiTheme="minorHAnsi" w:hAnsiTheme="minorHAnsi"/>
                <w:sz w:val="22"/>
                <w:szCs w:val="22"/>
              </w:rPr>
              <w:t>13</w:t>
            </w:r>
            <w:r w:rsidR="00613DFC" w:rsidRPr="00ED4B10">
              <w:rPr>
                <w:rFonts w:asciiTheme="minorHAnsi" w:hAnsiTheme="minorHAnsi"/>
                <w:sz w:val="22"/>
                <w:szCs w:val="22"/>
              </w:rPr>
              <w:t>.</w:t>
            </w:r>
          </w:p>
        </w:tc>
        <w:tc>
          <w:tcPr>
            <w:tcW w:w="2268" w:type="dxa"/>
          </w:tcPr>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Cuncolim</w:t>
            </w:r>
          </w:p>
        </w:tc>
        <w:tc>
          <w:tcPr>
            <w:tcW w:w="4111" w:type="dxa"/>
          </w:tcPr>
          <w:p w:rsidR="00613DFC" w:rsidRPr="00CC376F" w:rsidRDefault="00613DFC" w:rsidP="003F62D2">
            <w:pPr>
              <w:pStyle w:val="BodyText"/>
              <w:jc w:val="both"/>
              <w:rPr>
                <w:sz w:val="22"/>
                <w:szCs w:val="22"/>
              </w:rPr>
            </w:pPr>
            <w:r w:rsidRPr="00CC376F">
              <w:rPr>
                <w:rFonts w:asciiTheme="minorHAnsi" w:hAnsiTheme="minorHAnsi"/>
                <w:sz w:val="22"/>
                <w:szCs w:val="22"/>
              </w:rPr>
              <w:t>5</w:t>
            </w:r>
            <w:r w:rsidR="00F9076A">
              <w:rPr>
                <w:rFonts w:asciiTheme="minorHAnsi" w:hAnsiTheme="minorHAnsi"/>
                <w:sz w:val="22"/>
                <w:szCs w:val="22"/>
              </w:rPr>
              <w:t>00</w:t>
            </w:r>
            <w:r w:rsidRPr="00CC376F">
              <w:rPr>
                <w:rFonts w:asciiTheme="minorHAnsi" w:hAnsiTheme="minorHAnsi"/>
                <w:sz w:val="22"/>
                <w:szCs w:val="22"/>
              </w:rPr>
              <w:t>0</w:t>
            </w:r>
            <w:r w:rsidRPr="00CC376F">
              <w:rPr>
                <w:sz w:val="22"/>
                <w:szCs w:val="22"/>
              </w:rPr>
              <w:t>/-</w:t>
            </w:r>
            <w:r w:rsidR="00ED4B10" w:rsidRPr="00CC376F">
              <w:rPr>
                <w:sz w:val="22"/>
                <w:szCs w:val="22"/>
              </w:rPr>
              <w:t>p.m.</w:t>
            </w:r>
          </w:p>
          <w:p w:rsidR="00613DFC" w:rsidRPr="00CC376F" w:rsidRDefault="00613DFC" w:rsidP="00912E17">
            <w:pPr>
              <w:pStyle w:val="BodyText"/>
              <w:jc w:val="both"/>
              <w:rPr>
                <w:sz w:val="22"/>
                <w:szCs w:val="22"/>
              </w:rPr>
            </w:pPr>
            <w:r w:rsidRPr="00CC376F">
              <w:rPr>
                <w:sz w:val="22"/>
                <w:szCs w:val="22"/>
              </w:rPr>
              <w:t>+500/-p.m. towards furniture &amp; fixtures.</w:t>
            </w:r>
          </w:p>
        </w:tc>
        <w:tc>
          <w:tcPr>
            <w:tcW w:w="1842" w:type="dxa"/>
          </w:tcPr>
          <w:p w:rsidR="00ED4B10" w:rsidRDefault="00ED4B10" w:rsidP="003F62D2">
            <w:pPr>
              <w:pStyle w:val="BodyText"/>
              <w:jc w:val="both"/>
              <w:rPr>
                <w:rFonts w:asciiTheme="minorHAnsi" w:hAnsiTheme="minorHAnsi"/>
                <w:sz w:val="22"/>
                <w:szCs w:val="22"/>
              </w:rPr>
            </w:pPr>
          </w:p>
          <w:p w:rsidR="00613DFC" w:rsidRPr="00ED4B10" w:rsidRDefault="00613DFC" w:rsidP="003F62D2">
            <w:pPr>
              <w:pStyle w:val="BodyText"/>
              <w:jc w:val="both"/>
              <w:rPr>
                <w:rFonts w:asciiTheme="minorHAnsi" w:hAnsiTheme="minorHAnsi"/>
                <w:sz w:val="22"/>
                <w:szCs w:val="22"/>
              </w:rPr>
            </w:pPr>
            <w:r w:rsidRPr="00ED4B10">
              <w:rPr>
                <w:rFonts w:asciiTheme="minorHAnsi" w:hAnsiTheme="minorHAnsi"/>
                <w:sz w:val="22"/>
                <w:szCs w:val="22"/>
              </w:rPr>
              <w:t>10,000/-</w:t>
            </w:r>
          </w:p>
        </w:tc>
      </w:tr>
      <w:tr w:rsidR="00613DFC" w:rsidRPr="00CC376F" w:rsidTr="00DC7A34">
        <w:tc>
          <w:tcPr>
            <w:tcW w:w="851" w:type="dxa"/>
          </w:tcPr>
          <w:p w:rsidR="00613DFC" w:rsidRPr="00ED4B10" w:rsidRDefault="00D75769" w:rsidP="003F62D2">
            <w:pPr>
              <w:pStyle w:val="BodyText"/>
              <w:jc w:val="both"/>
              <w:rPr>
                <w:rFonts w:asciiTheme="minorHAnsi" w:hAnsiTheme="minorHAnsi"/>
                <w:sz w:val="22"/>
                <w:szCs w:val="22"/>
              </w:rPr>
            </w:pPr>
            <w:r w:rsidRPr="00ED4B10">
              <w:rPr>
                <w:rFonts w:asciiTheme="minorHAnsi" w:hAnsiTheme="minorHAnsi"/>
                <w:sz w:val="22"/>
                <w:szCs w:val="22"/>
              </w:rPr>
              <w:t>14</w:t>
            </w:r>
            <w:r w:rsidR="00613DFC" w:rsidRPr="00ED4B10">
              <w:rPr>
                <w:rFonts w:asciiTheme="minorHAnsi" w:hAnsiTheme="minorHAnsi"/>
                <w:sz w:val="22"/>
                <w:szCs w:val="22"/>
              </w:rPr>
              <w:t>.</w:t>
            </w:r>
          </w:p>
        </w:tc>
        <w:tc>
          <w:tcPr>
            <w:tcW w:w="2268" w:type="dxa"/>
          </w:tcPr>
          <w:p w:rsidR="00613DFC" w:rsidRPr="00ED4B10" w:rsidRDefault="00613DFC" w:rsidP="0090622A">
            <w:pPr>
              <w:pStyle w:val="BodyText"/>
              <w:jc w:val="both"/>
              <w:rPr>
                <w:rFonts w:asciiTheme="minorHAnsi" w:hAnsiTheme="minorHAnsi"/>
                <w:sz w:val="22"/>
                <w:szCs w:val="22"/>
              </w:rPr>
            </w:pPr>
            <w:r w:rsidRPr="00ED4B10">
              <w:rPr>
                <w:rFonts w:asciiTheme="minorHAnsi" w:hAnsiTheme="minorHAnsi"/>
                <w:sz w:val="22"/>
                <w:szCs w:val="22"/>
              </w:rPr>
              <w:t>Kakoda</w:t>
            </w:r>
          </w:p>
        </w:tc>
        <w:tc>
          <w:tcPr>
            <w:tcW w:w="4111" w:type="dxa"/>
          </w:tcPr>
          <w:p w:rsidR="00613DFC" w:rsidRPr="00CC376F" w:rsidRDefault="00F9076A" w:rsidP="0090622A">
            <w:pPr>
              <w:pStyle w:val="BodyText"/>
              <w:jc w:val="both"/>
              <w:rPr>
                <w:sz w:val="22"/>
                <w:szCs w:val="22"/>
              </w:rPr>
            </w:pPr>
            <w:r>
              <w:rPr>
                <w:sz w:val="22"/>
                <w:szCs w:val="22"/>
              </w:rPr>
              <w:t>5</w:t>
            </w:r>
            <w:r w:rsidR="00613DFC" w:rsidRPr="00CC376F">
              <w:rPr>
                <w:sz w:val="22"/>
                <w:szCs w:val="22"/>
              </w:rPr>
              <w:t>000/- p.m.</w:t>
            </w:r>
          </w:p>
          <w:p w:rsidR="00613DFC" w:rsidRPr="00CC376F" w:rsidRDefault="00F9076A" w:rsidP="0090622A">
            <w:pPr>
              <w:pStyle w:val="BodyText"/>
              <w:jc w:val="both"/>
              <w:rPr>
                <w:sz w:val="22"/>
                <w:szCs w:val="22"/>
              </w:rPr>
            </w:pPr>
            <w:r>
              <w:rPr>
                <w:sz w:val="22"/>
                <w:szCs w:val="22"/>
              </w:rPr>
              <w:t>+5</w:t>
            </w:r>
            <w:r w:rsidR="00613DFC" w:rsidRPr="00CC376F">
              <w:rPr>
                <w:sz w:val="22"/>
                <w:szCs w:val="22"/>
              </w:rPr>
              <w:t>00/-p.m. towards furniture &amp; fixtures</w:t>
            </w:r>
          </w:p>
        </w:tc>
        <w:tc>
          <w:tcPr>
            <w:tcW w:w="1842" w:type="dxa"/>
          </w:tcPr>
          <w:p w:rsidR="00ED4B10" w:rsidRDefault="00ED4B10" w:rsidP="0090622A">
            <w:pPr>
              <w:pStyle w:val="BodyText"/>
              <w:jc w:val="both"/>
              <w:rPr>
                <w:rFonts w:asciiTheme="minorHAnsi" w:hAnsiTheme="minorHAnsi"/>
                <w:sz w:val="22"/>
                <w:szCs w:val="22"/>
              </w:rPr>
            </w:pPr>
          </w:p>
          <w:p w:rsidR="00613DFC" w:rsidRPr="00ED4B10" w:rsidRDefault="00613DFC" w:rsidP="0090622A">
            <w:pPr>
              <w:pStyle w:val="BodyText"/>
              <w:jc w:val="both"/>
              <w:rPr>
                <w:rFonts w:asciiTheme="minorHAnsi" w:hAnsiTheme="minorHAnsi"/>
                <w:sz w:val="22"/>
                <w:szCs w:val="22"/>
              </w:rPr>
            </w:pPr>
            <w:r w:rsidRPr="00ED4B10">
              <w:rPr>
                <w:rFonts w:asciiTheme="minorHAnsi" w:hAnsiTheme="minorHAnsi"/>
                <w:sz w:val="22"/>
                <w:szCs w:val="22"/>
              </w:rPr>
              <w:t>10,000/-</w:t>
            </w:r>
          </w:p>
        </w:tc>
      </w:tr>
    </w:tbl>
    <w:p w:rsidR="0016761F" w:rsidRPr="00CC376F" w:rsidRDefault="0016761F" w:rsidP="003F62D2">
      <w:pPr>
        <w:pStyle w:val="BodyText"/>
        <w:jc w:val="both"/>
        <w:rPr>
          <w:sz w:val="22"/>
          <w:szCs w:val="22"/>
        </w:rPr>
      </w:pPr>
    </w:p>
    <w:p w:rsidR="0016761F" w:rsidRDefault="0016761F" w:rsidP="00ED4B10">
      <w:pPr>
        <w:pStyle w:val="BodyText"/>
        <w:numPr>
          <w:ilvl w:val="0"/>
          <w:numId w:val="1"/>
        </w:numPr>
        <w:jc w:val="both"/>
        <w:rPr>
          <w:rFonts w:asciiTheme="minorHAnsi" w:hAnsiTheme="minorHAnsi"/>
          <w:sz w:val="22"/>
          <w:szCs w:val="22"/>
        </w:rPr>
      </w:pPr>
      <w:r w:rsidRPr="00ED4B10">
        <w:rPr>
          <w:rFonts w:asciiTheme="minorHAnsi" w:hAnsiTheme="minorHAnsi"/>
          <w:sz w:val="22"/>
          <w:szCs w:val="22"/>
        </w:rPr>
        <w:t>The period of contract will be for 3 years w.</w:t>
      </w:r>
      <w:r w:rsidR="00ED4B10">
        <w:rPr>
          <w:rFonts w:asciiTheme="minorHAnsi" w:hAnsiTheme="minorHAnsi"/>
          <w:sz w:val="22"/>
          <w:szCs w:val="22"/>
        </w:rPr>
        <w:t xml:space="preserve"> </w:t>
      </w:r>
      <w:r w:rsidRPr="00ED4B10">
        <w:rPr>
          <w:rFonts w:asciiTheme="minorHAnsi" w:hAnsiTheme="minorHAnsi"/>
          <w:sz w:val="22"/>
          <w:szCs w:val="22"/>
        </w:rPr>
        <w:t>e.</w:t>
      </w:r>
      <w:r w:rsidR="00ED4B10">
        <w:rPr>
          <w:rFonts w:asciiTheme="minorHAnsi" w:hAnsiTheme="minorHAnsi"/>
          <w:sz w:val="22"/>
          <w:szCs w:val="22"/>
        </w:rPr>
        <w:t xml:space="preserve"> </w:t>
      </w:r>
      <w:r w:rsidRPr="00ED4B10">
        <w:rPr>
          <w:rFonts w:asciiTheme="minorHAnsi" w:hAnsiTheme="minorHAnsi"/>
          <w:sz w:val="22"/>
          <w:szCs w:val="22"/>
        </w:rPr>
        <w:t xml:space="preserve">f. the </w:t>
      </w:r>
      <w:r w:rsidR="001163C1" w:rsidRPr="00ED4B10">
        <w:rPr>
          <w:rFonts w:asciiTheme="minorHAnsi" w:hAnsiTheme="minorHAnsi"/>
          <w:sz w:val="22"/>
          <w:szCs w:val="22"/>
        </w:rPr>
        <w:t>date of award of the contract for canteen with 10% increases</w:t>
      </w:r>
      <w:r w:rsidRPr="00ED4B10">
        <w:rPr>
          <w:rFonts w:asciiTheme="minorHAnsi" w:hAnsiTheme="minorHAnsi"/>
          <w:sz w:val="22"/>
          <w:szCs w:val="22"/>
        </w:rPr>
        <w:t xml:space="preserve"> every year, unless it has to be revoked by GIDC for good and sufficient reasons and in that case the contractor shall be given an opportunity to put up their defense.</w:t>
      </w:r>
    </w:p>
    <w:p w:rsidR="001163C1" w:rsidRPr="00ED4B10" w:rsidRDefault="001163C1" w:rsidP="001163C1">
      <w:pPr>
        <w:pStyle w:val="BodyText"/>
        <w:ind w:left="360"/>
        <w:jc w:val="both"/>
        <w:rPr>
          <w:rFonts w:asciiTheme="minorHAnsi" w:hAnsiTheme="minorHAnsi"/>
          <w:sz w:val="22"/>
          <w:szCs w:val="22"/>
        </w:rPr>
      </w:pPr>
    </w:p>
    <w:p w:rsidR="00ED4B10" w:rsidRDefault="0016761F" w:rsidP="00ED4B10">
      <w:pPr>
        <w:pStyle w:val="BodyText"/>
        <w:numPr>
          <w:ilvl w:val="0"/>
          <w:numId w:val="1"/>
        </w:numPr>
        <w:jc w:val="both"/>
        <w:rPr>
          <w:rFonts w:asciiTheme="minorHAnsi" w:hAnsiTheme="minorHAnsi"/>
          <w:sz w:val="22"/>
          <w:szCs w:val="22"/>
        </w:rPr>
      </w:pPr>
      <w:r w:rsidRPr="00ED4B10">
        <w:rPr>
          <w:rFonts w:asciiTheme="minorHAnsi" w:hAnsiTheme="minorHAnsi"/>
          <w:sz w:val="22"/>
          <w:szCs w:val="22"/>
        </w:rPr>
        <w:t xml:space="preserve">The offer giving details of previous experience (not less than 2 years in running the canteen) and any special items proposed to be served with Rates should reach to the General </w:t>
      </w:r>
      <w:r w:rsidR="00DC7A34" w:rsidRPr="00ED4B10">
        <w:rPr>
          <w:rFonts w:asciiTheme="minorHAnsi" w:hAnsiTheme="minorHAnsi"/>
          <w:sz w:val="22"/>
          <w:szCs w:val="22"/>
        </w:rPr>
        <w:t>Manager (</w:t>
      </w:r>
      <w:r w:rsidRPr="00ED4B10">
        <w:rPr>
          <w:rFonts w:asciiTheme="minorHAnsi" w:hAnsiTheme="minorHAnsi"/>
          <w:sz w:val="22"/>
          <w:szCs w:val="22"/>
        </w:rPr>
        <w:t>Engg.) Goa-IDC,</w:t>
      </w:r>
      <w:r w:rsidR="006112A5" w:rsidRPr="00ED4B10">
        <w:rPr>
          <w:rFonts w:asciiTheme="minorHAnsi" w:hAnsiTheme="minorHAnsi"/>
          <w:sz w:val="22"/>
          <w:szCs w:val="22"/>
        </w:rPr>
        <w:t xml:space="preserve"> Panaji-Goa </w:t>
      </w:r>
      <w:r w:rsidR="00ED4B10" w:rsidRPr="00ED4B10">
        <w:rPr>
          <w:rFonts w:asciiTheme="minorHAnsi" w:hAnsiTheme="minorHAnsi"/>
          <w:sz w:val="22"/>
          <w:szCs w:val="22"/>
        </w:rPr>
        <w:t>up to</w:t>
      </w:r>
      <w:r w:rsidR="00A850A4">
        <w:rPr>
          <w:rFonts w:asciiTheme="minorHAnsi" w:hAnsiTheme="minorHAnsi"/>
          <w:sz w:val="22"/>
          <w:szCs w:val="22"/>
        </w:rPr>
        <w:t xml:space="preserve"> 3.00 p.m. on 15</w:t>
      </w:r>
      <w:r w:rsidRPr="00ED4B10">
        <w:rPr>
          <w:rFonts w:asciiTheme="minorHAnsi" w:hAnsiTheme="minorHAnsi"/>
          <w:sz w:val="22"/>
          <w:szCs w:val="22"/>
          <w:vertAlign w:val="superscript"/>
        </w:rPr>
        <w:t>th</w:t>
      </w:r>
      <w:r w:rsidR="00ED4B10">
        <w:rPr>
          <w:rFonts w:asciiTheme="minorHAnsi" w:hAnsiTheme="minorHAnsi"/>
          <w:sz w:val="22"/>
          <w:szCs w:val="22"/>
        </w:rPr>
        <w:t xml:space="preserve"> June’</w:t>
      </w:r>
      <w:r w:rsidR="006112A5" w:rsidRPr="00ED4B10">
        <w:rPr>
          <w:rFonts w:asciiTheme="minorHAnsi" w:hAnsiTheme="minorHAnsi"/>
          <w:sz w:val="22"/>
          <w:szCs w:val="22"/>
        </w:rPr>
        <w:t xml:space="preserve"> 2015</w:t>
      </w:r>
      <w:r w:rsidRPr="00ED4B10">
        <w:rPr>
          <w:rFonts w:asciiTheme="minorHAnsi" w:hAnsiTheme="minorHAnsi"/>
          <w:sz w:val="22"/>
          <w:szCs w:val="22"/>
        </w:rPr>
        <w:t xml:space="preserve"> and the same will be opened at 3.30 p.m. on the same day, in the presence of tenderers at GOA-ID</w:t>
      </w:r>
      <w:r w:rsidR="00ED4B10">
        <w:rPr>
          <w:rFonts w:asciiTheme="minorHAnsi" w:hAnsiTheme="minorHAnsi"/>
          <w:sz w:val="22"/>
          <w:szCs w:val="22"/>
        </w:rPr>
        <w:t>C, Corporate Office, Panaji-Goa</w:t>
      </w:r>
    </w:p>
    <w:p w:rsidR="001163C1" w:rsidRPr="00ED4B10" w:rsidRDefault="001163C1" w:rsidP="001163C1">
      <w:pPr>
        <w:pStyle w:val="BodyText"/>
        <w:jc w:val="both"/>
        <w:rPr>
          <w:rFonts w:asciiTheme="minorHAnsi" w:hAnsiTheme="minorHAnsi"/>
          <w:sz w:val="22"/>
          <w:szCs w:val="22"/>
        </w:rPr>
      </w:pPr>
    </w:p>
    <w:p w:rsidR="001163C1" w:rsidRDefault="0016761F" w:rsidP="001163C1">
      <w:pPr>
        <w:pStyle w:val="BodyText"/>
        <w:numPr>
          <w:ilvl w:val="0"/>
          <w:numId w:val="1"/>
        </w:numPr>
        <w:jc w:val="both"/>
        <w:rPr>
          <w:rFonts w:asciiTheme="minorHAnsi" w:hAnsiTheme="minorHAnsi"/>
          <w:sz w:val="22"/>
          <w:szCs w:val="22"/>
        </w:rPr>
      </w:pPr>
      <w:r w:rsidRPr="00ED4B10">
        <w:rPr>
          <w:rFonts w:asciiTheme="minorHAnsi" w:hAnsiTheme="minorHAnsi"/>
          <w:sz w:val="22"/>
          <w:szCs w:val="22"/>
        </w:rPr>
        <w:t xml:space="preserve">The tender should be accompanied with E.M.D. of Rs.5,000/- (Rupees five thousand only) in the form of crossed demand draft or deposit call receipt from schedule Bank drawn in favour of GOA-IDC, Panaji-Goa.  The E.M.D. of successful tenderer will be adjusted against the security deposit and that of the other tenderers will be refunded.  E.M.D. is liable to be forfeited if offer is withdrawn prematurely.  Tender received </w:t>
      </w:r>
      <w:r w:rsidRPr="00ED4B10">
        <w:rPr>
          <w:rFonts w:asciiTheme="minorHAnsi" w:hAnsiTheme="minorHAnsi"/>
          <w:b/>
          <w:sz w:val="22"/>
          <w:szCs w:val="22"/>
          <w:u w:val="single"/>
        </w:rPr>
        <w:t>without E.M.D.</w:t>
      </w:r>
      <w:r w:rsidRPr="00ED4B10">
        <w:rPr>
          <w:rFonts w:asciiTheme="minorHAnsi" w:hAnsiTheme="minorHAnsi"/>
          <w:sz w:val="22"/>
          <w:szCs w:val="22"/>
          <w:u w:val="single"/>
        </w:rPr>
        <w:t xml:space="preserve"> and </w:t>
      </w:r>
      <w:r w:rsidRPr="00ED4B10">
        <w:rPr>
          <w:rFonts w:asciiTheme="minorHAnsi" w:hAnsiTheme="minorHAnsi"/>
          <w:b/>
          <w:sz w:val="22"/>
          <w:szCs w:val="22"/>
          <w:u w:val="single"/>
        </w:rPr>
        <w:t>without highest bid quoted</w:t>
      </w:r>
      <w:r w:rsidRPr="00ED4B10">
        <w:rPr>
          <w:rFonts w:asciiTheme="minorHAnsi" w:hAnsiTheme="minorHAnsi"/>
          <w:sz w:val="22"/>
          <w:szCs w:val="22"/>
        </w:rPr>
        <w:t xml:space="preserve"> </w:t>
      </w:r>
      <w:r w:rsidRPr="00ED4B10">
        <w:rPr>
          <w:rFonts w:asciiTheme="minorHAnsi" w:hAnsiTheme="minorHAnsi"/>
          <w:b/>
          <w:sz w:val="22"/>
          <w:szCs w:val="22"/>
          <w:u w:val="single"/>
        </w:rPr>
        <w:t>will be rejected forthwith.</w:t>
      </w:r>
      <w:r w:rsidRPr="00ED4B10">
        <w:rPr>
          <w:rFonts w:asciiTheme="minorHAnsi" w:hAnsiTheme="minorHAnsi"/>
          <w:sz w:val="22"/>
          <w:szCs w:val="22"/>
        </w:rPr>
        <w:t xml:space="preserve"> </w:t>
      </w:r>
    </w:p>
    <w:p w:rsidR="001163C1" w:rsidRPr="001163C1" w:rsidRDefault="001163C1" w:rsidP="001163C1">
      <w:pPr>
        <w:pStyle w:val="BodyText"/>
        <w:jc w:val="both"/>
        <w:rPr>
          <w:rFonts w:asciiTheme="minorHAnsi" w:hAnsiTheme="minorHAnsi"/>
          <w:sz w:val="22"/>
          <w:szCs w:val="22"/>
        </w:rPr>
      </w:pPr>
    </w:p>
    <w:p w:rsidR="0016761F" w:rsidRPr="00ED4B10" w:rsidRDefault="0016761F" w:rsidP="00ED4B10">
      <w:pPr>
        <w:pStyle w:val="BodyText"/>
        <w:tabs>
          <w:tab w:val="left" w:pos="2880"/>
        </w:tabs>
        <w:ind w:left="720" w:hanging="360"/>
        <w:jc w:val="both"/>
        <w:rPr>
          <w:rFonts w:asciiTheme="minorHAnsi" w:hAnsiTheme="minorHAnsi"/>
          <w:sz w:val="22"/>
          <w:szCs w:val="22"/>
        </w:rPr>
      </w:pPr>
      <w:r w:rsidRPr="00ED4B10">
        <w:rPr>
          <w:rFonts w:asciiTheme="minorHAnsi" w:hAnsiTheme="minorHAnsi"/>
          <w:sz w:val="22"/>
          <w:szCs w:val="22"/>
        </w:rPr>
        <w:t>4.   Tender catalogue can be obtained from GOA-IDC office, Panaji on written request  on all working days on  payment of Rs.500/-</w:t>
      </w:r>
      <w:r w:rsidR="006112A5" w:rsidRPr="00ED4B10">
        <w:rPr>
          <w:rFonts w:asciiTheme="minorHAnsi" w:hAnsiTheme="minorHAnsi"/>
          <w:sz w:val="22"/>
          <w:szCs w:val="22"/>
        </w:rPr>
        <w:t>(non</w:t>
      </w:r>
      <w:r w:rsidR="00ED4B10">
        <w:rPr>
          <w:rFonts w:asciiTheme="minorHAnsi" w:hAnsiTheme="minorHAnsi"/>
          <w:sz w:val="22"/>
          <w:szCs w:val="22"/>
        </w:rPr>
        <w:t>-</w:t>
      </w:r>
      <w:r w:rsidR="00A850A4">
        <w:rPr>
          <w:rFonts w:asciiTheme="minorHAnsi" w:hAnsiTheme="minorHAnsi"/>
          <w:sz w:val="22"/>
          <w:szCs w:val="22"/>
        </w:rPr>
        <w:t xml:space="preserve"> refundable) per set from 03.06.2015 to 11</w:t>
      </w:r>
      <w:r w:rsidR="006112A5" w:rsidRPr="00ED4B10">
        <w:rPr>
          <w:rFonts w:asciiTheme="minorHAnsi" w:hAnsiTheme="minorHAnsi"/>
          <w:sz w:val="22"/>
          <w:szCs w:val="22"/>
        </w:rPr>
        <w:t>.06.2015</w:t>
      </w:r>
      <w:r w:rsidRPr="00ED4B10">
        <w:rPr>
          <w:rFonts w:asciiTheme="minorHAnsi" w:hAnsiTheme="minorHAnsi"/>
          <w:sz w:val="22"/>
          <w:szCs w:val="22"/>
        </w:rPr>
        <w:t xml:space="preserve"> </w:t>
      </w:r>
      <w:proofErr w:type="spellStart"/>
      <w:r w:rsidRPr="00ED4B10">
        <w:rPr>
          <w:rFonts w:asciiTheme="minorHAnsi" w:hAnsiTheme="minorHAnsi"/>
          <w:sz w:val="22"/>
          <w:szCs w:val="22"/>
        </w:rPr>
        <w:t>upto</w:t>
      </w:r>
      <w:proofErr w:type="spellEnd"/>
      <w:r w:rsidRPr="00ED4B10">
        <w:rPr>
          <w:rFonts w:asciiTheme="minorHAnsi" w:hAnsiTheme="minorHAnsi"/>
          <w:sz w:val="22"/>
          <w:szCs w:val="22"/>
        </w:rPr>
        <w:t xml:space="preserve"> 4.00 p.m.</w:t>
      </w:r>
    </w:p>
    <w:p w:rsidR="0016761F" w:rsidRPr="00ED4B10" w:rsidRDefault="0016761F" w:rsidP="00ED4B10">
      <w:pPr>
        <w:pStyle w:val="BodyText"/>
        <w:numPr>
          <w:ilvl w:val="0"/>
          <w:numId w:val="2"/>
        </w:numPr>
        <w:jc w:val="both"/>
        <w:rPr>
          <w:rFonts w:asciiTheme="minorHAnsi" w:hAnsiTheme="minorHAnsi"/>
          <w:sz w:val="22"/>
          <w:szCs w:val="22"/>
        </w:rPr>
      </w:pPr>
      <w:r w:rsidRPr="00ED4B10">
        <w:rPr>
          <w:rFonts w:asciiTheme="minorHAnsi" w:hAnsiTheme="minorHAnsi"/>
          <w:sz w:val="22"/>
          <w:szCs w:val="22"/>
        </w:rPr>
        <w:t>Tender catalogue shall not be issued to the contractor who is already a defaulter of GOA-IDC and has shown poor performance. Such contractors shall not be allowed to participate in the tendering.</w:t>
      </w:r>
    </w:p>
    <w:p w:rsidR="001163C1" w:rsidRDefault="0016761F" w:rsidP="00DC7A34">
      <w:pPr>
        <w:pStyle w:val="BodyText"/>
        <w:numPr>
          <w:ilvl w:val="0"/>
          <w:numId w:val="2"/>
        </w:numPr>
        <w:jc w:val="both"/>
        <w:rPr>
          <w:rFonts w:asciiTheme="minorHAnsi" w:hAnsiTheme="minorHAnsi"/>
          <w:b/>
          <w:sz w:val="22"/>
          <w:szCs w:val="22"/>
        </w:rPr>
      </w:pPr>
      <w:r w:rsidRPr="00ED4B10">
        <w:rPr>
          <w:rFonts w:asciiTheme="minorHAnsi" w:hAnsiTheme="minorHAnsi"/>
          <w:sz w:val="22"/>
          <w:szCs w:val="22"/>
        </w:rPr>
        <w:t>The GOA-IDC has the right to accept or reject any or all tenders without assigning any reason thereof.</w:t>
      </w:r>
      <w:r w:rsidRPr="00ED4B10">
        <w:rPr>
          <w:rFonts w:asciiTheme="minorHAnsi" w:hAnsiTheme="minorHAnsi"/>
          <w:b/>
          <w:sz w:val="22"/>
          <w:szCs w:val="22"/>
        </w:rPr>
        <w:t xml:space="preserve">                                                             </w:t>
      </w:r>
      <w:r w:rsidR="00ED4B10">
        <w:rPr>
          <w:rFonts w:asciiTheme="minorHAnsi" w:hAnsiTheme="minorHAnsi"/>
          <w:b/>
          <w:sz w:val="22"/>
          <w:szCs w:val="22"/>
        </w:rPr>
        <w:t xml:space="preserve">                               </w:t>
      </w:r>
      <w:r w:rsidR="00ED4B10" w:rsidRPr="00ED4B10">
        <w:rPr>
          <w:rFonts w:asciiTheme="minorHAnsi" w:hAnsiTheme="minorHAnsi"/>
          <w:b/>
          <w:sz w:val="22"/>
          <w:szCs w:val="22"/>
        </w:rPr>
        <w:t xml:space="preserve">           </w:t>
      </w:r>
    </w:p>
    <w:p w:rsidR="00DC7A34" w:rsidRPr="00DC7A34" w:rsidRDefault="00DC7A34" w:rsidP="00DC7A34">
      <w:pPr>
        <w:pStyle w:val="BodyText"/>
        <w:ind w:left="720"/>
        <w:jc w:val="both"/>
        <w:rPr>
          <w:rFonts w:asciiTheme="minorHAnsi" w:hAnsiTheme="minorHAnsi"/>
          <w:b/>
          <w:sz w:val="22"/>
          <w:szCs w:val="22"/>
        </w:rPr>
      </w:pPr>
    </w:p>
    <w:p w:rsidR="0016761F" w:rsidRPr="00ED4B10" w:rsidRDefault="001163C1" w:rsidP="001163C1">
      <w:pPr>
        <w:pStyle w:val="BodyText"/>
        <w:ind w:left="360"/>
        <w:jc w:val="both"/>
        <w:rPr>
          <w:rFonts w:asciiTheme="minorHAnsi" w:hAnsiTheme="minorHAnsi"/>
          <w:b/>
          <w:sz w:val="22"/>
          <w:szCs w:val="22"/>
        </w:rPr>
      </w:pPr>
      <w:r>
        <w:rPr>
          <w:rFonts w:asciiTheme="minorHAnsi" w:hAnsiTheme="minorHAnsi"/>
          <w:b/>
          <w:sz w:val="22"/>
          <w:szCs w:val="22"/>
        </w:rPr>
        <w:t xml:space="preserve">      </w:t>
      </w:r>
      <w:r w:rsidR="00ED4B10">
        <w:rPr>
          <w:rFonts w:asciiTheme="minorHAnsi" w:hAnsiTheme="minorHAnsi"/>
          <w:b/>
          <w:sz w:val="22"/>
          <w:szCs w:val="22"/>
        </w:rPr>
        <w:t xml:space="preserve">                                                                                                                         </w:t>
      </w:r>
      <w:r w:rsidR="00ED4B10" w:rsidRPr="00ED4B10">
        <w:rPr>
          <w:rFonts w:asciiTheme="minorHAnsi" w:hAnsiTheme="minorHAnsi"/>
          <w:b/>
          <w:sz w:val="22"/>
          <w:szCs w:val="22"/>
        </w:rPr>
        <w:t xml:space="preserve"> </w:t>
      </w:r>
      <w:r w:rsidR="004A569B" w:rsidRPr="00ED4B10">
        <w:rPr>
          <w:rFonts w:asciiTheme="minorHAnsi" w:hAnsiTheme="minorHAnsi"/>
          <w:b/>
          <w:sz w:val="22"/>
          <w:szCs w:val="22"/>
        </w:rPr>
        <w:t xml:space="preserve">GENERAL MANAGER (Engg.)                                </w:t>
      </w:r>
    </w:p>
    <w:p w:rsidR="0016761F" w:rsidRDefault="0016761F">
      <w:pPr>
        <w:rPr>
          <w:rFonts w:ascii="Times New Roman" w:hAnsi="Times New Roman"/>
          <w:b/>
        </w:rPr>
      </w:pPr>
    </w:p>
    <w:p w:rsidR="0016761F" w:rsidRPr="007A39DB" w:rsidRDefault="0016761F" w:rsidP="00F1540A">
      <w:pPr>
        <w:pStyle w:val="BodyText"/>
        <w:spacing w:line="360" w:lineRule="auto"/>
        <w:jc w:val="both"/>
        <w:outlineLvl w:val="0"/>
        <w:rPr>
          <w:b/>
          <w:sz w:val="22"/>
          <w:szCs w:val="22"/>
        </w:rPr>
      </w:pPr>
      <w:r w:rsidRPr="007A39DB">
        <w:rPr>
          <w:b/>
          <w:sz w:val="22"/>
          <w:szCs w:val="22"/>
        </w:rPr>
        <w:t>Goa Industrial Development Corporation</w:t>
      </w:r>
    </w:p>
    <w:p w:rsidR="0016761F" w:rsidRPr="007A39DB" w:rsidRDefault="0016761F" w:rsidP="003F62D2">
      <w:pPr>
        <w:pStyle w:val="BodyText"/>
        <w:spacing w:line="360" w:lineRule="auto"/>
        <w:jc w:val="both"/>
        <w:rPr>
          <w:b/>
          <w:sz w:val="22"/>
          <w:szCs w:val="22"/>
        </w:rPr>
      </w:pPr>
      <w:r w:rsidRPr="007A39DB">
        <w:rPr>
          <w:b/>
          <w:sz w:val="22"/>
          <w:szCs w:val="22"/>
        </w:rPr>
        <w:t xml:space="preserve">(A Government of </w:t>
      </w:r>
      <w:smartTag w:uri="urn:schemas-microsoft-com:office:smarttags" w:element="place">
        <w:r w:rsidRPr="007A39DB">
          <w:rPr>
            <w:b/>
            <w:sz w:val="22"/>
            <w:szCs w:val="22"/>
          </w:rPr>
          <w:t>Goa</w:t>
        </w:r>
      </w:smartTag>
      <w:r w:rsidRPr="007A39DB">
        <w:rPr>
          <w:b/>
          <w:sz w:val="22"/>
          <w:szCs w:val="22"/>
        </w:rPr>
        <w:t xml:space="preserve"> Undertaking)</w:t>
      </w:r>
    </w:p>
    <w:p w:rsidR="0016761F" w:rsidRDefault="0016761F" w:rsidP="003F62D2">
      <w:pPr>
        <w:pStyle w:val="BodyText"/>
        <w:spacing w:line="360" w:lineRule="auto"/>
        <w:jc w:val="both"/>
        <w:rPr>
          <w:sz w:val="22"/>
          <w:szCs w:val="22"/>
        </w:rPr>
      </w:pPr>
    </w:p>
    <w:p w:rsidR="0016761F" w:rsidRDefault="0016761F" w:rsidP="00F1540A">
      <w:pPr>
        <w:pStyle w:val="BodyText"/>
        <w:spacing w:line="360" w:lineRule="auto"/>
        <w:jc w:val="both"/>
        <w:outlineLvl w:val="0"/>
        <w:rPr>
          <w:b/>
          <w:sz w:val="22"/>
          <w:szCs w:val="22"/>
          <w:u w:val="single"/>
        </w:rPr>
      </w:pPr>
      <w:r w:rsidRPr="007A39DB">
        <w:rPr>
          <w:b/>
          <w:sz w:val="22"/>
          <w:szCs w:val="22"/>
          <w:u w:val="single"/>
        </w:rPr>
        <w:t>Corporate office</w:t>
      </w:r>
    </w:p>
    <w:p w:rsidR="0016761F" w:rsidRDefault="0016761F" w:rsidP="00F1540A">
      <w:pPr>
        <w:pStyle w:val="BodyText"/>
        <w:spacing w:line="360" w:lineRule="auto"/>
        <w:jc w:val="both"/>
        <w:outlineLvl w:val="0"/>
        <w:rPr>
          <w:sz w:val="22"/>
          <w:szCs w:val="22"/>
        </w:rPr>
      </w:pPr>
      <w:r w:rsidRPr="007A39DB">
        <w:rPr>
          <w:sz w:val="22"/>
          <w:szCs w:val="22"/>
        </w:rPr>
        <w:t>Plot no</w:t>
      </w:r>
      <w:r>
        <w:rPr>
          <w:sz w:val="22"/>
          <w:szCs w:val="22"/>
        </w:rPr>
        <w:t xml:space="preserve">. 13-A-2, EDC Complex, </w:t>
      </w:r>
      <w:smartTag w:uri="urn:schemas-microsoft-com:office:smarttags" w:element="place">
        <w:smartTag w:uri="urn:schemas-microsoft-com:office:smarttags" w:element="PlaceName">
          <w:r>
            <w:rPr>
              <w:sz w:val="22"/>
              <w:szCs w:val="22"/>
            </w:rPr>
            <w:t>Patto</w:t>
          </w:r>
        </w:smartTag>
        <w:r>
          <w:rPr>
            <w:sz w:val="22"/>
            <w:szCs w:val="22"/>
          </w:rPr>
          <w:t xml:space="preserve"> </w:t>
        </w:r>
        <w:smartTag w:uri="urn:schemas-microsoft-com:office:smarttags" w:element="PlaceType">
          <w:r>
            <w:rPr>
              <w:sz w:val="22"/>
              <w:szCs w:val="22"/>
            </w:rPr>
            <w:t>Plaza</w:t>
          </w:r>
        </w:smartTag>
      </w:smartTag>
      <w:r>
        <w:rPr>
          <w:sz w:val="22"/>
          <w:szCs w:val="22"/>
        </w:rPr>
        <w:t>, Panaji-Goa 403 001,</w:t>
      </w:r>
    </w:p>
    <w:p w:rsidR="0016761F" w:rsidRDefault="0016761F" w:rsidP="003F62D2">
      <w:pPr>
        <w:pStyle w:val="BodyText"/>
        <w:spacing w:line="360" w:lineRule="auto"/>
        <w:jc w:val="both"/>
        <w:rPr>
          <w:sz w:val="22"/>
          <w:szCs w:val="22"/>
        </w:rPr>
      </w:pPr>
      <w:r>
        <w:rPr>
          <w:sz w:val="22"/>
          <w:szCs w:val="22"/>
        </w:rPr>
        <w:t>Tel : (91)(832)2437470 to 73 ; FAX : (91)(832)2437478-79,</w:t>
      </w:r>
    </w:p>
    <w:p w:rsidR="0016761F" w:rsidRPr="007A39DB" w:rsidRDefault="0016761F" w:rsidP="003F62D2">
      <w:pPr>
        <w:pStyle w:val="BodyText"/>
        <w:spacing w:line="360" w:lineRule="auto"/>
        <w:jc w:val="both"/>
        <w:rPr>
          <w:sz w:val="22"/>
          <w:szCs w:val="22"/>
        </w:rPr>
      </w:pPr>
      <w:r>
        <w:rPr>
          <w:sz w:val="22"/>
          <w:szCs w:val="22"/>
        </w:rPr>
        <w:t xml:space="preserve">URL : </w:t>
      </w:r>
      <w:hyperlink r:id="rId7" w:history="1">
        <w:r w:rsidRPr="00720DFE">
          <w:rPr>
            <w:rStyle w:val="Hyperlink"/>
          </w:rPr>
          <w:t>www.goaidc.com</w:t>
        </w:r>
      </w:hyperlink>
      <w:r>
        <w:t>Email</w:t>
      </w:r>
      <w:r>
        <w:rPr>
          <w:sz w:val="22"/>
          <w:szCs w:val="22"/>
        </w:rPr>
        <w:t xml:space="preserve"> : goaidc1965@gmail.com</w:t>
      </w:r>
    </w:p>
    <w:p w:rsidR="0016761F" w:rsidRDefault="0016761F" w:rsidP="003F62D2">
      <w:pPr>
        <w:pStyle w:val="BodyText"/>
        <w:spacing w:line="360" w:lineRule="auto"/>
        <w:jc w:val="both"/>
        <w:rPr>
          <w:sz w:val="22"/>
          <w:szCs w:val="22"/>
        </w:rPr>
      </w:pPr>
    </w:p>
    <w:p w:rsidR="0016761F" w:rsidRPr="006D772F" w:rsidRDefault="0016761F" w:rsidP="003F62D2">
      <w:pPr>
        <w:pStyle w:val="BodyText"/>
        <w:spacing w:line="360" w:lineRule="auto"/>
        <w:jc w:val="center"/>
        <w:rPr>
          <w:rFonts w:asciiTheme="minorHAnsi" w:hAnsiTheme="minorHAnsi"/>
          <w:b/>
          <w:sz w:val="24"/>
        </w:rPr>
      </w:pPr>
      <w:r w:rsidRPr="006D772F">
        <w:rPr>
          <w:rFonts w:asciiTheme="minorHAnsi" w:hAnsiTheme="minorHAnsi"/>
          <w:b/>
          <w:sz w:val="24"/>
          <w:u w:val="single"/>
        </w:rPr>
        <w:t>TENDER NOTICE</w:t>
      </w:r>
      <w:r w:rsidRPr="006D772F">
        <w:rPr>
          <w:rFonts w:asciiTheme="minorHAnsi" w:hAnsiTheme="minorHAnsi"/>
          <w:b/>
          <w:sz w:val="24"/>
        </w:rPr>
        <w:t xml:space="preserve">              </w:t>
      </w:r>
    </w:p>
    <w:p w:rsidR="0016761F" w:rsidRPr="006D772F" w:rsidRDefault="0016761F" w:rsidP="003F62D2">
      <w:pPr>
        <w:pStyle w:val="BodyText"/>
        <w:spacing w:line="360" w:lineRule="auto"/>
        <w:jc w:val="center"/>
        <w:rPr>
          <w:rFonts w:asciiTheme="minorHAnsi" w:hAnsiTheme="minorHAnsi"/>
          <w:b/>
          <w:sz w:val="24"/>
        </w:rPr>
      </w:pPr>
    </w:p>
    <w:p w:rsidR="0016761F" w:rsidRPr="006D772F" w:rsidRDefault="0016761F" w:rsidP="003F62D2">
      <w:pPr>
        <w:pStyle w:val="BodyText"/>
        <w:spacing w:line="360" w:lineRule="auto"/>
        <w:jc w:val="both"/>
        <w:rPr>
          <w:rFonts w:asciiTheme="minorHAnsi" w:hAnsiTheme="minorHAnsi"/>
          <w:sz w:val="22"/>
          <w:szCs w:val="22"/>
        </w:rPr>
      </w:pPr>
      <w:proofErr w:type="gramStart"/>
      <w:r w:rsidRPr="006D772F">
        <w:rPr>
          <w:rFonts w:asciiTheme="minorHAnsi" w:hAnsiTheme="minorHAnsi"/>
          <w:sz w:val="22"/>
          <w:szCs w:val="22"/>
        </w:rPr>
        <w:t>No :-</w:t>
      </w:r>
      <w:proofErr w:type="gramEnd"/>
      <w:r w:rsidRPr="006D772F">
        <w:rPr>
          <w:rFonts w:asciiTheme="minorHAnsi" w:hAnsiTheme="minorHAnsi"/>
          <w:sz w:val="22"/>
          <w:szCs w:val="22"/>
        </w:rPr>
        <w:t xml:space="preserve"> GOA-IDC/GM(E)/Canteen/Industrial Estates/</w:t>
      </w:r>
      <w:r w:rsidR="007832B6" w:rsidRPr="006D772F">
        <w:rPr>
          <w:rFonts w:asciiTheme="minorHAnsi" w:hAnsiTheme="minorHAnsi"/>
          <w:sz w:val="22"/>
          <w:szCs w:val="22"/>
        </w:rPr>
        <w:t>Tender notice/2015-16</w:t>
      </w:r>
      <w:r w:rsidRPr="006D772F">
        <w:rPr>
          <w:rFonts w:asciiTheme="minorHAnsi" w:hAnsiTheme="minorHAnsi"/>
          <w:sz w:val="22"/>
          <w:szCs w:val="22"/>
        </w:rPr>
        <w:t>/A-</w:t>
      </w:r>
      <w:r w:rsidR="00F97D7A" w:rsidRPr="006D772F">
        <w:rPr>
          <w:rFonts w:asciiTheme="minorHAnsi" w:hAnsiTheme="minorHAnsi"/>
          <w:sz w:val="22"/>
          <w:szCs w:val="22"/>
        </w:rPr>
        <w:t>02</w:t>
      </w:r>
      <w:r w:rsidRPr="006D772F">
        <w:rPr>
          <w:rFonts w:asciiTheme="minorHAnsi" w:hAnsiTheme="minorHAnsi"/>
          <w:sz w:val="22"/>
          <w:szCs w:val="22"/>
        </w:rPr>
        <w:t xml:space="preserve">           Date: </w:t>
      </w:r>
      <w:r w:rsidR="00231FF6">
        <w:rPr>
          <w:rFonts w:asciiTheme="minorHAnsi" w:hAnsiTheme="minorHAnsi"/>
          <w:sz w:val="22"/>
          <w:szCs w:val="22"/>
        </w:rPr>
        <w:t>01/06</w:t>
      </w:r>
      <w:r w:rsidR="00F97D7A" w:rsidRPr="006D772F">
        <w:rPr>
          <w:rFonts w:asciiTheme="minorHAnsi" w:hAnsiTheme="minorHAnsi"/>
          <w:sz w:val="22"/>
          <w:szCs w:val="22"/>
        </w:rPr>
        <w:t>/2015</w:t>
      </w:r>
      <w:r w:rsidRPr="006D772F">
        <w:rPr>
          <w:rFonts w:asciiTheme="minorHAnsi" w:hAnsiTheme="minorHAnsi"/>
          <w:sz w:val="22"/>
          <w:szCs w:val="22"/>
        </w:rPr>
        <w:t>.</w:t>
      </w:r>
    </w:p>
    <w:p w:rsidR="0016761F" w:rsidRPr="006D772F" w:rsidRDefault="0016761F" w:rsidP="003F62D2">
      <w:pPr>
        <w:pStyle w:val="BodyText"/>
        <w:spacing w:line="360" w:lineRule="auto"/>
        <w:jc w:val="center"/>
        <w:rPr>
          <w:rFonts w:asciiTheme="minorHAnsi" w:hAnsiTheme="minorHAnsi"/>
          <w:b/>
          <w:sz w:val="24"/>
          <w:u w:val="single"/>
        </w:rPr>
      </w:pPr>
    </w:p>
    <w:p w:rsidR="0016761F" w:rsidRPr="006D772F" w:rsidRDefault="0016761F" w:rsidP="003F62D2">
      <w:pPr>
        <w:pStyle w:val="BodyText"/>
        <w:spacing w:line="360" w:lineRule="auto"/>
        <w:jc w:val="center"/>
        <w:rPr>
          <w:rFonts w:asciiTheme="minorHAnsi" w:hAnsiTheme="minorHAnsi"/>
          <w:b/>
          <w:sz w:val="24"/>
          <w:u w:val="single"/>
        </w:rPr>
      </w:pPr>
      <w:r w:rsidRPr="006D772F">
        <w:rPr>
          <w:rFonts w:asciiTheme="minorHAnsi" w:hAnsiTheme="minorHAnsi"/>
          <w:b/>
          <w:sz w:val="24"/>
          <w:u w:val="single"/>
        </w:rPr>
        <w:t>*Running of canteen contract on highest bid basis*</w:t>
      </w:r>
    </w:p>
    <w:p w:rsidR="0016761F" w:rsidRPr="006D772F" w:rsidRDefault="0016761F" w:rsidP="003F62D2">
      <w:pPr>
        <w:pStyle w:val="BodyText"/>
        <w:spacing w:line="360" w:lineRule="auto"/>
        <w:jc w:val="center"/>
        <w:rPr>
          <w:rFonts w:asciiTheme="minorHAnsi" w:hAnsiTheme="minorHAnsi"/>
          <w:b/>
          <w:sz w:val="24"/>
        </w:rPr>
      </w:pPr>
    </w:p>
    <w:p w:rsidR="0016761F" w:rsidRPr="006D772F" w:rsidRDefault="0016761F" w:rsidP="003F62D2">
      <w:pPr>
        <w:pStyle w:val="BodyText"/>
        <w:spacing w:line="360" w:lineRule="auto"/>
        <w:jc w:val="both"/>
        <w:rPr>
          <w:rFonts w:asciiTheme="minorHAnsi" w:hAnsiTheme="minorHAnsi"/>
          <w:sz w:val="24"/>
        </w:rPr>
      </w:pPr>
      <w:r w:rsidRPr="006D772F">
        <w:rPr>
          <w:rFonts w:asciiTheme="minorHAnsi" w:hAnsiTheme="minorHAnsi"/>
          <w:sz w:val="24"/>
        </w:rPr>
        <w:tab/>
        <w:t>The General Manager (Engg.) on behalf of the Goa Industrial Development Corporation, Panaji-Goa invites sealed highest bid/application</w:t>
      </w:r>
      <w:r w:rsidR="00EF7F18">
        <w:rPr>
          <w:rFonts w:asciiTheme="minorHAnsi" w:hAnsiTheme="minorHAnsi"/>
          <w:sz w:val="24"/>
        </w:rPr>
        <w:t>s so as to reach on or before 15.0.2015</w:t>
      </w:r>
      <w:bookmarkStart w:id="0" w:name="_GoBack"/>
      <w:bookmarkEnd w:id="0"/>
      <w:r w:rsidRPr="006D772F">
        <w:rPr>
          <w:rFonts w:asciiTheme="minorHAnsi" w:hAnsiTheme="minorHAnsi"/>
          <w:sz w:val="24"/>
        </w:rPr>
        <w:t xml:space="preserve"> by 3.00 pm from well experienced and eligible locals/contractors/agencies for running the Canteen in the Industrial Estates  at</w:t>
      </w:r>
      <w:r w:rsidR="00D75769" w:rsidRPr="006D772F">
        <w:rPr>
          <w:rFonts w:asciiTheme="minorHAnsi" w:hAnsiTheme="minorHAnsi"/>
          <w:sz w:val="24"/>
        </w:rPr>
        <w:t xml:space="preserve"> </w:t>
      </w:r>
      <w:r w:rsidR="00D75769" w:rsidRPr="006D772F">
        <w:rPr>
          <w:rFonts w:asciiTheme="minorHAnsi" w:hAnsiTheme="minorHAnsi"/>
          <w:b/>
          <w:sz w:val="24"/>
        </w:rPr>
        <w:t>Pilerne, Mapusa, T</w:t>
      </w:r>
      <w:r w:rsidR="00F00611" w:rsidRPr="006D772F">
        <w:rPr>
          <w:rFonts w:asciiTheme="minorHAnsi" w:hAnsiTheme="minorHAnsi"/>
          <w:b/>
          <w:sz w:val="24"/>
        </w:rPr>
        <w:t>h</w:t>
      </w:r>
      <w:r w:rsidR="00D75769" w:rsidRPr="006D772F">
        <w:rPr>
          <w:rFonts w:asciiTheme="minorHAnsi" w:hAnsiTheme="minorHAnsi"/>
          <w:b/>
          <w:sz w:val="24"/>
        </w:rPr>
        <w:t>ivim Canteen –I, Tuem, Honda Canteen –I, Canteen II, Verna, Sancoale, Bethora, Kundaim Canteen II, Margao Canteen-I, Canteen II, Cuncolim,</w:t>
      </w:r>
      <w:r w:rsidRPr="006D772F">
        <w:rPr>
          <w:rFonts w:asciiTheme="minorHAnsi" w:hAnsiTheme="minorHAnsi"/>
          <w:b/>
          <w:sz w:val="24"/>
        </w:rPr>
        <w:t xml:space="preserve"> </w:t>
      </w:r>
      <w:r w:rsidR="006D772F" w:rsidRPr="006D772F">
        <w:rPr>
          <w:rFonts w:asciiTheme="minorHAnsi" w:hAnsiTheme="minorHAnsi"/>
          <w:b/>
          <w:sz w:val="24"/>
        </w:rPr>
        <w:t>and Kakoda</w:t>
      </w:r>
      <w:r w:rsidRPr="006D772F">
        <w:rPr>
          <w:rFonts w:asciiTheme="minorHAnsi" w:hAnsiTheme="minorHAnsi"/>
          <w:b/>
          <w:sz w:val="24"/>
        </w:rPr>
        <w:t xml:space="preserve"> </w:t>
      </w:r>
      <w:r w:rsidRPr="006D772F">
        <w:rPr>
          <w:rFonts w:asciiTheme="minorHAnsi" w:hAnsiTheme="minorHAnsi"/>
          <w:sz w:val="24"/>
        </w:rPr>
        <w:t>as per the details in the tender notice put up on the notice board  and hosted on the websites  mentioned below.</w:t>
      </w:r>
    </w:p>
    <w:p w:rsidR="0016761F" w:rsidRPr="006D772F" w:rsidRDefault="0016761F" w:rsidP="003F62D2">
      <w:pPr>
        <w:pStyle w:val="BodyText"/>
        <w:spacing w:line="360" w:lineRule="auto"/>
        <w:jc w:val="both"/>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Availability of tender document on written application</w:t>
            </w:r>
          </w:p>
        </w:tc>
        <w:tc>
          <w:tcPr>
            <w:tcW w:w="4788" w:type="dxa"/>
          </w:tcPr>
          <w:p w:rsidR="0016761F" w:rsidRPr="006D772F" w:rsidRDefault="00A850A4" w:rsidP="00B04810">
            <w:pPr>
              <w:rPr>
                <w:rFonts w:asciiTheme="minorHAnsi" w:hAnsiTheme="minorHAnsi"/>
              </w:rPr>
            </w:pPr>
            <w:r>
              <w:rPr>
                <w:rFonts w:asciiTheme="minorHAnsi" w:hAnsiTheme="minorHAnsi"/>
              </w:rPr>
              <w:t>03.06.2015 to 11</w:t>
            </w:r>
            <w:r w:rsidR="007832B6" w:rsidRPr="006D772F">
              <w:rPr>
                <w:rFonts w:asciiTheme="minorHAnsi" w:hAnsiTheme="minorHAnsi"/>
              </w:rPr>
              <w:t>.06.2015</w:t>
            </w:r>
            <w:r w:rsidR="0016761F" w:rsidRPr="006D772F">
              <w:rPr>
                <w:rFonts w:asciiTheme="minorHAnsi" w:hAnsiTheme="minorHAnsi"/>
              </w:rPr>
              <w:t>(</w:t>
            </w:r>
            <w:r w:rsidR="006D772F" w:rsidRPr="006D772F">
              <w:rPr>
                <w:rFonts w:asciiTheme="minorHAnsi" w:hAnsiTheme="minorHAnsi"/>
              </w:rPr>
              <w:t>up to</w:t>
            </w:r>
            <w:r w:rsidR="0016761F" w:rsidRPr="006D772F">
              <w:rPr>
                <w:rFonts w:asciiTheme="minorHAnsi" w:hAnsiTheme="minorHAnsi"/>
              </w:rPr>
              <w:t xml:space="preserve"> 16.00 hours)</w:t>
            </w:r>
          </w:p>
        </w:tc>
      </w:tr>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Issue of Tender sets</w:t>
            </w:r>
          </w:p>
        </w:tc>
        <w:tc>
          <w:tcPr>
            <w:tcW w:w="4788" w:type="dxa"/>
          </w:tcPr>
          <w:p w:rsidR="0016761F" w:rsidRPr="006D772F" w:rsidRDefault="00A850A4" w:rsidP="00B04810">
            <w:pPr>
              <w:rPr>
                <w:rFonts w:asciiTheme="minorHAnsi" w:hAnsiTheme="minorHAnsi"/>
              </w:rPr>
            </w:pPr>
            <w:r>
              <w:rPr>
                <w:rFonts w:asciiTheme="minorHAnsi" w:hAnsiTheme="minorHAnsi"/>
              </w:rPr>
              <w:t>03.06</w:t>
            </w:r>
            <w:r w:rsidR="00D75769" w:rsidRPr="006D772F">
              <w:rPr>
                <w:rFonts w:asciiTheme="minorHAnsi" w:hAnsiTheme="minorHAnsi"/>
              </w:rPr>
              <w:t xml:space="preserve">.2015 to </w:t>
            </w:r>
            <w:r>
              <w:rPr>
                <w:rFonts w:asciiTheme="minorHAnsi" w:hAnsiTheme="minorHAnsi"/>
              </w:rPr>
              <w:t>11</w:t>
            </w:r>
            <w:r w:rsidR="00D75769" w:rsidRPr="006D772F">
              <w:rPr>
                <w:rFonts w:asciiTheme="minorHAnsi" w:hAnsiTheme="minorHAnsi"/>
              </w:rPr>
              <w:t>.06.2015</w:t>
            </w:r>
            <w:r w:rsidR="0016761F" w:rsidRPr="006D772F">
              <w:rPr>
                <w:rFonts w:asciiTheme="minorHAnsi" w:hAnsiTheme="minorHAnsi"/>
              </w:rPr>
              <w:t>(</w:t>
            </w:r>
            <w:r w:rsidR="006D772F" w:rsidRPr="006D772F">
              <w:rPr>
                <w:rFonts w:asciiTheme="minorHAnsi" w:hAnsiTheme="minorHAnsi"/>
              </w:rPr>
              <w:t>up to</w:t>
            </w:r>
            <w:r w:rsidR="0016761F" w:rsidRPr="006D772F">
              <w:rPr>
                <w:rFonts w:asciiTheme="minorHAnsi" w:hAnsiTheme="minorHAnsi"/>
              </w:rPr>
              <w:t xml:space="preserve"> 16.00 hours)</w:t>
            </w:r>
          </w:p>
        </w:tc>
      </w:tr>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Date and time of opening of Tender</w:t>
            </w:r>
          </w:p>
        </w:tc>
        <w:tc>
          <w:tcPr>
            <w:tcW w:w="4788" w:type="dxa"/>
          </w:tcPr>
          <w:p w:rsidR="0016761F" w:rsidRPr="006D772F" w:rsidRDefault="00A850A4" w:rsidP="00B04810">
            <w:pPr>
              <w:rPr>
                <w:rFonts w:asciiTheme="minorHAnsi" w:hAnsiTheme="minorHAnsi"/>
              </w:rPr>
            </w:pPr>
            <w:r>
              <w:rPr>
                <w:rFonts w:asciiTheme="minorHAnsi" w:hAnsiTheme="minorHAnsi"/>
              </w:rPr>
              <w:t>15</w:t>
            </w:r>
            <w:r w:rsidR="00D75769" w:rsidRPr="006D772F">
              <w:rPr>
                <w:rFonts w:asciiTheme="minorHAnsi" w:hAnsiTheme="minorHAnsi"/>
              </w:rPr>
              <w:t>.06.2015</w:t>
            </w:r>
            <w:r w:rsidR="0016761F" w:rsidRPr="006D772F">
              <w:rPr>
                <w:rFonts w:asciiTheme="minorHAnsi" w:hAnsiTheme="minorHAnsi"/>
              </w:rPr>
              <w:t xml:space="preserve"> (15.30 </w:t>
            </w:r>
            <w:r w:rsidR="006D772F" w:rsidRPr="006D772F">
              <w:rPr>
                <w:rFonts w:asciiTheme="minorHAnsi" w:hAnsiTheme="minorHAnsi"/>
              </w:rPr>
              <w:t>hrs.</w:t>
            </w:r>
            <w:r w:rsidR="0016761F" w:rsidRPr="006D772F">
              <w:rPr>
                <w:rFonts w:asciiTheme="minorHAnsi" w:hAnsiTheme="minorHAnsi"/>
              </w:rPr>
              <w:t>)</w:t>
            </w:r>
          </w:p>
          <w:p w:rsidR="0016761F" w:rsidRPr="006D772F" w:rsidRDefault="0016761F" w:rsidP="00B04810">
            <w:pPr>
              <w:rPr>
                <w:rFonts w:asciiTheme="minorHAnsi" w:hAnsiTheme="minorHAnsi"/>
              </w:rPr>
            </w:pPr>
          </w:p>
        </w:tc>
      </w:tr>
    </w:tbl>
    <w:p w:rsidR="0016761F" w:rsidRPr="006D772F" w:rsidRDefault="0016761F" w:rsidP="003F62D2">
      <w:pPr>
        <w:spacing w:line="360" w:lineRule="auto"/>
        <w:rPr>
          <w:rFonts w:asciiTheme="minorHAnsi" w:hAnsiTheme="minorHAnsi"/>
        </w:rPr>
      </w:pPr>
    </w:p>
    <w:p w:rsidR="0016761F" w:rsidRPr="006D772F" w:rsidRDefault="0016761F" w:rsidP="003F62D2">
      <w:pPr>
        <w:spacing w:line="360" w:lineRule="auto"/>
        <w:jc w:val="both"/>
        <w:rPr>
          <w:rFonts w:asciiTheme="minorHAnsi" w:hAnsiTheme="minorHAnsi"/>
        </w:rPr>
      </w:pPr>
      <w:r w:rsidRPr="006D772F">
        <w:rPr>
          <w:rFonts w:asciiTheme="minorHAnsi" w:hAnsiTheme="minorHAnsi"/>
        </w:rPr>
        <w:t xml:space="preserve">For details including the </w:t>
      </w:r>
      <w:r w:rsidRPr="006D772F">
        <w:rPr>
          <w:rFonts w:asciiTheme="minorHAnsi" w:hAnsiTheme="minorHAnsi"/>
          <w:b/>
          <w:u w:val="single"/>
        </w:rPr>
        <w:t>Terms and Condition</w:t>
      </w:r>
      <w:r w:rsidR="006D772F">
        <w:rPr>
          <w:rFonts w:asciiTheme="minorHAnsi" w:hAnsiTheme="minorHAnsi"/>
          <w:b/>
          <w:u w:val="single"/>
        </w:rPr>
        <w:t>s</w:t>
      </w:r>
      <w:r w:rsidRPr="006D772F">
        <w:rPr>
          <w:rFonts w:asciiTheme="minorHAnsi" w:hAnsiTheme="minorHAnsi"/>
          <w:b/>
          <w:u w:val="single"/>
        </w:rPr>
        <w:t>,</w:t>
      </w:r>
      <w:r w:rsidRPr="006D772F">
        <w:rPr>
          <w:rFonts w:asciiTheme="minorHAnsi" w:hAnsiTheme="minorHAnsi"/>
        </w:rPr>
        <w:t xml:space="preserve"> interested contractors are requested to visit/refer the below mentioned websites </w:t>
      </w:r>
      <w:proofErr w:type="gramStart"/>
      <w:r w:rsidRPr="006D772F">
        <w:rPr>
          <w:rFonts w:asciiTheme="minorHAnsi" w:hAnsiTheme="minorHAnsi"/>
        </w:rPr>
        <w:t>bulletin  and</w:t>
      </w:r>
      <w:proofErr w:type="gramEnd"/>
      <w:r w:rsidRPr="006D772F">
        <w:rPr>
          <w:rFonts w:asciiTheme="minorHAnsi" w:hAnsiTheme="minorHAnsi"/>
        </w:rPr>
        <w:t xml:space="preserve"> notice boards of the said Industrial Estates and head office.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Goa-IDC Website  :-</w:t>
            </w:r>
          </w:p>
        </w:tc>
        <w:tc>
          <w:tcPr>
            <w:tcW w:w="4788" w:type="dxa"/>
          </w:tcPr>
          <w:p w:rsidR="0016761F" w:rsidRPr="006D772F" w:rsidRDefault="004635ED" w:rsidP="00B04810">
            <w:pPr>
              <w:rPr>
                <w:rFonts w:asciiTheme="minorHAnsi" w:hAnsiTheme="minorHAnsi"/>
              </w:rPr>
            </w:pPr>
            <w:hyperlink r:id="rId8" w:history="1">
              <w:r w:rsidR="0016761F" w:rsidRPr="006D772F">
                <w:rPr>
                  <w:rStyle w:val="Hyperlink"/>
                  <w:rFonts w:asciiTheme="minorHAnsi" w:hAnsiTheme="minorHAnsi"/>
                </w:rPr>
                <w:t>www.goaidc.com</w:t>
              </w:r>
            </w:hyperlink>
          </w:p>
          <w:p w:rsidR="0016761F" w:rsidRPr="006D772F" w:rsidRDefault="0016761F" w:rsidP="00B04810">
            <w:pPr>
              <w:rPr>
                <w:rFonts w:asciiTheme="minorHAnsi" w:hAnsiTheme="minorHAnsi"/>
              </w:rPr>
            </w:pPr>
          </w:p>
        </w:tc>
      </w:tr>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Goa Government Website :-</w:t>
            </w:r>
          </w:p>
        </w:tc>
        <w:tc>
          <w:tcPr>
            <w:tcW w:w="4788" w:type="dxa"/>
          </w:tcPr>
          <w:p w:rsidR="0016761F" w:rsidRPr="006D772F" w:rsidRDefault="004635ED" w:rsidP="00B04810">
            <w:pPr>
              <w:rPr>
                <w:rFonts w:asciiTheme="minorHAnsi" w:hAnsiTheme="minorHAnsi"/>
              </w:rPr>
            </w:pPr>
            <w:hyperlink r:id="rId9" w:history="1">
              <w:r w:rsidR="0016761F" w:rsidRPr="006D772F">
                <w:rPr>
                  <w:rStyle w:val="Hyperlink"/>
                  <w:rFonts w:asciiTheme="minorHAnsi" w:hAnsiTheme="minorHAnsi"/>
                </w:rPr>
                <w:t>www.goagovt.nic.in</w:t>
              </w:r>
            </w:hyperlink>
          </w:p>
          <w:p w:rsidR="0016761F" w:rsidRPr="006D772F" w:rsidRDefault="0016761F" w:rsidP="00B04810">
            <w:pPr>
              <w:rPr>
                <w:rFonts w:asciiTheme="minorHAnsi" w:hAnsiTheme="minorHAnsi"/>
              </w:rPr>
            </w:pPr>
          </w:p>
        </w:tc>
      </w:tr>
      <w:tr w:rsidR="0016761F" w:rsidRPr="006D772F" w:rsidTr="00FD5B86">
        <w:tc>
          <w:tcPr>
            <w:tcW w:w="4788" w:type="dxa"/>
          </w:tcPr>
          <w:p w:rsidR="0016761F" w:rsidRPr="006D772F" w:rsidRDefault="0016761F" w:rsidP="00B04810">
            <w:pPr>
              <w:rPr>
                <w:rFonts w:asciiTheme="minorHAnsi" w:hAnsiTheme="minorHAnsi"/>
              </w:rPr>
            </w:pPr>
            <w:r w:rsidRPr="006D772F">
              <w:rPr>
                <w:rFonts w:asciiTheme="minorHAnsi" w:hAnsiTheme="minorHAnsi"/>
              </w:rPr>
              <w:t>Website of Department of Information &amp; Publicity</w:t>
            </w:r>
          </w:p>
        </w:tc>
        <w:tc>
          <w:tcPr>
            <w:tcW w:w="4788" w:type="dxa"/>
          </w:tcPr>
          <w:p w:rsidR="0016761F" w:rsidRPr="006D772F" w:rsidRDefault="004635ED" w:rsidP="00B04810">
            <w:pPr>
              <w:rPr>
                <w:rFonts w:asciiTheme="minorHAnsi" w:hAnsiTheme="minorHAnsi"/>
              </w:rPr>
            </w:pPr>
            <w:hyperlink r:id="rId10" w:history="1">
              <w:r w:rsidR="0016761F" w:rsidRPr="006D772F">
                <w:rPr>
                  <w:rStyle w:val="Hyperlink"/>
                  <w:rFonts w:asciiTheme="minorHAnsi" w:hAnsiTheme="minorHAnsi"/>
                </w:rPr>
                <w:t>www.dip.goa.gov.in</w:t>
              </w:r>
            </w:hyperlink>
          </w:p>
          <w:p w:rsidR="0016761F" w:rsidRPr="006D772F" w:rsidRDefault="0016761F" w:rsidP="00B04810">
            <w:pPr>
              <w:rPr>
                <w:rFonts w:asciiTheme="minorHAnsi" w:hAnsiTheme="minorHAnsi"/>
              </w:rPr>
            </w:pPr>
          </w:p>
        </w:tc>
      </w:tr>
    </w:tbl>
    <w:p w:rsidR="0016761F" w:rsidRPr="006D772F" w:rsidRDefault="0016761F" w:rsidP="00B04810">
      <w:pPr>
        <w:rPr>
          <w:rFonts w:asciiTheme="minorHAnsi" w:hAnsiTheme="minorHAnsi"/>
        </w:rPr>
      </w:pPr>
    </w:p>
    <w:p w:rsidR="0016761F" w:rsidRPr="006D772F" w:rsidRDefault="0016761F" w:rsidP="00B04810">
      <w:pPr>
        <w:rPr>
          <w:rFonts w:asciiTheme="minorHAnsi" w:hAnsiTheme="minorHAnsi"/>
        </w:rPr>
      </w:pPr>
    </w:p>
    <w:p w:rsidR="0016761F" w:rsidRPr="006D772F" w:rsidRDefault="0016761F" w:rsidP="003F62D2">
      <w:pPr>
        <w:spacing w:line="360" w:lineRule="auto"/>
        <w:rPr>
          <w:rFonts w:asciiTheme="minorHAnsi" w:hAnsiTheme="minorHAnsi"/>
        </w:rPr>
      </w:pPr>
    </w:p>
    <w:p w:rsidR="0016761F" w:rsidRPr="006D772F" w:rsidRDefault="0016761F" w:rsidP="003F62D2">
      <w:pPr>
        <w:spacing w:line="360" w:lineRule="auto"/>
        <w:rPr>
          <w:rFonts w:asciiTheme="minorHAnsi" w:hAnsiTheme="minorHAnsi"/>
        </w:rPr>
      </w:pPr>
    </w:p>
    <w:p w:rsidR="0016761F" w:rsidRPr="006D772F" w:rsidRDefault="0016761F" w:rsidP="003F62D2">
      <w:pPr>
        <w:spacing w:line="360" w:lineRule="auto"/>
        <w:rPr>
          <w:rFonts w:asciiTheme="minorHAnsi" w:hAnsiTheme="minorHAnsi"/>
        </w:rPr>
      </w:pPr>
    </w:p>
    <w:p w:rsidR="0016761F" w:rsidRPr="006D772F" w:rsidRDefault="0016761F" w:rsidP="00F1540A">
      <w:pPr>
        <w:spacing w:line="360" w:lineRule="auto"/>
        <w:jc w:val="right"/>
        <w:outlineLvl w:val="0"/>
        <w:rPr>
          <w:rFonts w:asciiTheme="minorHAnsi" w:hAnsiTheme="minorHAnsi"/>
          <w:b/>
        </w:rPr>
      </w:pPr>
      <w:r w:rsidRPr="006D772F">
        <w:rPr>
          <w:rFonts w:asciiTheme="minorHAnsi" w:hAnsiTheme="minorHAnsi"/>
          <w:b/>
        </w:rPr>
        <w:t>GENERAL MANAGER (ENGG.)</w:t>
      </w:r>
    </w:p>
    <w:sectPr w:rsidR="0016761F" w:rsidRPr="006D772F" w:rsidSect="004A569B">
      <w:headerReference w:type="even" r:id="rId11"/>
      <w:headerReference w:type="default" r:id="rId12"/>
      <w:footerReference w:type="even" r:id="rId13"/>
      <w:footerReference w:type="default" r:id="rId14"/>
      <w:headerReference w:type="first" r:id="rId15"/>
      <w:footerReference w:type="first" r:id="rId16"/>
      <w:pgSz w:w="12240" w:h="20160" w:code="5"/>
      <w:pgMar w:top="720" w:right="720" w:bottom="426"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A6" w:rsidRDefault="008A1FA6" w:rsidP="000121A3">
      <w:r>
        <w:separator/>
      </w:r>
    </w:p>
  </w:endnote>
  <w:endnote w:type="continuationSeparator" w:id="0">
    <w:p w:rsidR="008A1FA6" w:rsidRDefault="008A1FA6" w:rsidP="000121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upee Foradian Standard Cool">
    <w:altName w:val="Rupee Foradian"/>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A6" w:rsidRDefault="008A1FA6" w:rsidP="000121A3">
      <w:r>
        <w:separator/>
      </w:r>
    </w:p>
  </w:footnote>
  <w:footnote w:type="continuationSeparator" w:id="0">
    <w:p w:rsidR="008A1FA6" w:rsidRDefault="008A1FA6" w:rsidP="000121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61F" w:rsidRDefault="00167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C570D"/>
    <w:multiLevelType w:val="hybridMultilevel"/>
    <w:tmpl w:val="A198E694"/>
    <w:lvl w:ilvl="0" w:tplc="E4C2784C">
      <w:start w:val="3"/>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
    <w:nsid w:val="38171457"/>
    <w:multiLevelType w:val="hybridMultilevel"/>
    <w:tmpl w:val="330A8A74"/>
    <w:lvl w:ilvl="0" w:tplc="0409000F">
      <w:start w:val="5"/>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4745310"/>
    <w:multiLevelType w:val="hybridMultilevel"/>
    <w:tmpl w:val="FFECC3D4"/>
    <w:lvl w:ilvl="0" w:tplc="06EA879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46AA3533"/>
    <w:multiLevelType w:val="hybridMultilevel"/>
    <w:tmpl w:val="077EC924"/>
    <w:lvl w:ilvl="0" w:tplc="C6A08CEA">
      <w:start w:val="1"/>
      <w:numFmt w:val="decimal"/>
      <w:lvlText w:val="%1."/>
      <w:lvlJc w:val="left"/>
      <w:pPr>
        <w:ind w:left="720" w:hanging="360"/>
      </w:pPr>
      <w:rPr>
        <w:rFonts w:ascii="Times New Roman" w:eastAsia="Times New Roman" w:hAnsi="Times New Roman" w:cs="Times New Roman"/>
      </w:rPr>
    </w:lvl>
    <w:lvl w:ilvl="1" w:tplc="E4D20A12">
      <w:start w:val="1"/>
      <w:numFmt w:val="decimal"/>
      <w:lvlText w:val="%2"/>
      <w:lvlJc w:val="left"/>
      <w:pPr>
        <w:tabs>
          <w:tab w:val="num" w:pos="1440"/>
        </w:tabs>
        <w:ind w:left="1440" w:hanging="360"/>
      </w:pPr>
      <w:rPr>
        <w:rFonts w:asciiTheme="minorHAnsi" w:eastAsia="Times New Roman" w:hAnsiTheme="minorHAnsi"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B8669B2"/>
    <w:multiLevelType w:val="hybridMultilevel"/>
    <w:tmpl w:val="CF62577C"/>
    <w:lvl w:ilvl="0" w:tplc="30B27AD4">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5">
    <w:nsid w:val="6B4505C5"/>
    <w:multiLevelType w:val="hybridMultilevel"/>
    <w:tmpl w:val="E47636A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0217E92"/>
    <w:multiLevelType w:val="hybridMultilevel"/>
    <w:tmpl w:val="3F62154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590C"/>
    <w:rsid w:val="000121A3"/>
    <w:rsid w:val="000427D6"/>
    <w:rsid w:val="000C217A"/>
    <w:rsid w:val="000C79C3"/>
    <w:rsid w:val="000E400C"/>
    <w:rsid w:val="001163C1"/>
    <w:rsid w:val="001601E0"/>
    <w:rsid w:val="0016761F"/>
    <w:rsid w:val="00175E55"/>
    <w:rsid w:val="00196E73"/>
    <w:rsid w:val="001A6DEC"/>
    <w:rsid w:val="001F69BA"/>
    <w:rsid w:val="00207179"/>
    <w:rsid w:val="002272C0"/>
    <w:rsid w:val="00231FF6"/>
    <w:rsid w:val="002369FC"/>
    <w:rsid w:val="00243F0C"/>
    <w:rsid w:val="002643D9"/>
    <w:rsid w:val="002A3F91"/>
    <w:rsid w:val="002B741C"/>
    <w:rsid w:val="002E713E"/>
    <w:rsid w:val="003F2AF3"/>
    <w:rsid w:val="003F62D2"/>
    <w:rsid w:val="0040013E"/>
    <w:rsid w:val="00427A8B"/>
    <w:rsid w:val="004635ED"/>
    <w:rsid w:val="0049583D"/>
    <w:rsid w:val="004A569B"/>
    <w:rsid w:val="004B591A"/>
    <w:rsid w:val="004D019B"/>
    <w:rsid w:val="004E0EBF"/>
    <w:rsid w:val="00502156"/>
    <w:rsid w:val="00543BE8"/>
    <w:rsid w:val="005657A5"/>
    <w:rsid w:val="005C3F20"/>
    <w:rsid w:val="005D34E8"/>
    <w:rsid w:val="00605CE6"/>
    <w:rsid w:val="006112A5"/>
    <w:rsid w:val="00613DFC"/>
    <w:rsid w:val="006513EA"/>
    <w:rsid w:val="006614B4"/>
    <w:rsid w:val="0069570F"/>
    <w:rsid w:val="006D6D86"/>
    <w:rsid w:val="006D772F"/>
    <w:rsid w:val="006E03A1"/>
    <w:rsid w:val="007040C8"/>
    <w:rsid w:val="00720AA1"/>
    <w:rsid w:val="00720DFE"/>
    <w:rsid w:val="00774ED7"/>
    <w:rsid w:val="007832B6"/>
    <w:rsid w:val="007A39DB"/>
    <w:rsid w:val="00852CCE"/>
    <w:rsid w:val="0087291B"/>
    <w:rsid w:val="008A1FA6"/>
    <w:rsid w:val="008D37ED"/>
    <w:rsid w:val="008E563E"/>
    <w:rsid w:val="00912E17"/>
    <w:rsid w:val="0093364A"/>
    <w:rsid w:val="009638DE"/>
    <w:rsid w:val="00975F6F"/>
    <w:rsid w:val="009A5EB3"/>
    <w:rsid w:val="009B01E2"/>
    <w:rsid w:val="009D629D"/>
    <w:rsid w:val="009D6C68"/>
    <w:rsid w:val="009F5D78"/>
    <w:rsid w:val="00A67AA6"/>
    <w:rsid w:val="00A850A4"/>
    <w:rsid w:val="00AB7858"/>
    <w:rsid w:val="00AC197A"/>
    <w:rsid w:val="00AC626B"/>
    <w:rsid w:val="00B04810"/>
    <w:rsid w:val="00B34A8D"/>
    <w:rsid w:val="00B970C3"/>
    <w:rsid w:val="00BD5382"/>
    <w:rsid w:val="00C114EF"/>
    <w:rsid w:val="00C54F40"/>
    <w:rsid w:val="00C55B2D"/>
    <w:rsid w:val="00CA542A"/>
    <w:rsid w:val="00CB590C"/>
    <w:rsid w:val="00CC376F"/>
    <w:rsid w:val="00CC472D"/>
    <w:rsid w:val="00CC792B"/>
    <w:rsid w:val="00CF122C"/>
    <w:rsid w:val="00D15E54"/>
    <w:rsid w:val="00D24CF0"/>
    <w:rsid w:val="00D62A42"/>
    <w:rsid w:val="00D75769"/>
    <w:rsid w:val="00D76E68"/>
    <w:rsid w:val="00DC7A34"/>
    <w:rsid w:val="00DE1EAA"/>
    <w:rsid w:val="00DF3EE5"/>
    <w:rsid w:val="00E04B83"/>
    <w:rsid w:val="00E34038"/>
    <w:rsid w:val="00E36976"/>
    <w:rsid w:val="00E72DC7"/>
    <w:rsid w:val="00E9216E"/>
    <w:rsid w:val="00EC6281"/>
    <w:rsid w:val="00ED4B10"/>
    <w:rsid w:val="00ED7DDE"/>
    <w:rsid w:val="00EF7F18"/>
    <w:rsid w:val="00F00611"/>
    <w:rsid w:val="00F1540A"/>
    <w:rsid w:val="00F20697"/>
    <w:rsid w:val="00F241EF"/>
    <w:rsid w:val="00F5226F"/>
    <w:rsid w:val="00F9076A"/>
    <w:rsid w:val="00F97D7A"/>
    <w:rsid w:val="00F97DFC"/>
    <w:rsid w:val="00FB399A"/>
    <w:rsid w:val="00FD5B86"/>
    <w:rsid w:val="00FF7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6F"/>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90C"/>
    <w:rPr>
      <w:rFonts w:ascii="Times New Roman" w:hAnsi="Times New Roman"/>
      <w:sz w:val="28"/>
      <w:szCs w:val="20"/>
    </w:rPr>
  </w:style>
  <w:style w:type="character" w:customStyle="1" w:styleId="BodyTextChar">
    <w:name w:val="Body Text Char"/>
    <w:link w:val="BodyText"/>
    <w:uiPriority w:val="99"/>
    <w:locked/>
    <w:rsid w:val="00CB590C"/>
    <w:rPr>
      <w:rFonts w:ascii="Times New Roman" w:hAnsi="Times New Roman" w:cs="Times New Roman"/>
      <w:sz w:val="20"/>
      <w:szCs w:val="20"/>
    </w:rPr>
  </w:style>
  <w:style w:type="paragraph" w:styleId="ListParagraph">
    <w:name w:val="List Paragraph"/>
    <w:basedOn w:val="Normal"/>
    <w:uiPriority w:val="99"/>
    <w:qFormat/>
    <w:rsid w:val="00CB590C"/>
    <w:pPr>
      <w:ind w:left="720"/>
    </w:pPr>
    <w:rPr>
      <w:rFonts w:ascii="Times New Roman" w:hAnsi="Times New Roman"/>
      <w:sz w:val="20"/>
      <w:szCs w:val="20"/>
    </w:rPr>
  </w:style>
  <w:style w:type="paragraph" w:styleId="Header">
    <w:name w:val="header"/>
    <w:basedOn w:val="Normal"/>
    <w:link w:val="HeaderChar"/>
    <w:uiPriority w:val="99"/>
    <w:semiHidden/>
    <w:rsid w:val="000121A3"/>
    <w:pPr>
      <w:tabs>
        <w:tab w:val="center" w:pos="4680"/>
        <w:tab w:val="right" w:pos="9360"/>
      </w:tabs>
    </w:pPr>
  </w:style>
  <w:style w:type="character" w:customStyle="1" w:styleId="HeaderChar">
    <w:name w:val="Header Char"/>
    <w:link w:val="Header"/>
    <w:uiPriority w:val="99"/>
    <w:semiHidden/>
    <w:locked/>
    <w:rsid w:val="000121A3"/>
    <w:rPr>
      <w:rFonts w:cs="Times New Roman"/>
    </w:rPr>
  </w:style>
  <w:style w:type="paragraph" w:styleId="Footer">
    <w:name w:val="footer"/>
    <w:basedOn w:val="Normal"/>
    <w:link w:val="FooterChar"/>
    <w:uiPriority w:val="99"/>
    <w:semiHidden/>
    <w:rsid w:val="000121A3"/>
    <w:pPr>
      <w:tabs>
        <w:tab w:val="center" w:pos="4680"/>
        <w:tab w:val="right" w:pos="9360"/>
      </w:tabs>
    </w:pPr>
  </w:style>
  <w:style w:type="character" w:customStyle="1" w:styleId="FooterChar">
    <w:name w:val="Footer Char"/>
    <w:link w:val="Footer"/>
    <w:uiPriority w:val="99"/>
    <w:semiHidden/>
    <w:locked/>
    <w:rsid w:val="000121A3"/>
    <w:rPr>
      <w:rFonts w:cs="Times New Roman"/>
    </w:rPr>
  </w:style>
  <w:style w:type="table" w:styleId="TableGrid">
    <w:name w:val="Table Grid"/>
    <w:basedOn w:val="TableNormal"/>
    <w:uiPriority w:val="99"/>
    <w:rsid w:val="00427A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AC197A"/>
    <w:rPr>
      <w:rFonts w:cs="Times New Roman"/>
      <w:color w:val="0000FF"/>
      <w:u w:val="single"/>
    </w:rPr>
  </w:style>
  <w:style w:type="paragraph" w:styleId="DocumentMap">
    <w:name w:val="Document Map"/>
    <w:basedOn w:val="Normal"/>
    <w:link w:val="DocumentMapChar"/>
    <w:uiPriority w:val="99"/>
    <w:semiHidden/>
    <w:rsid w:val="00F1540A"/>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F6649E"/>
    <w:rPr>
      <w:rFonts w:ascii="Times New Roman" w:hAnsi="Times New Roman"/>
      <w:sz w:val="0"/>
      <w:szCs w:val="0"/>
      <w:lang w:val="en-US" w:eastAsia="en-US"/>
    </w:rPr>
  </w:style>
  <w:style w:type="paragraph" w:styleId="BalloonText">
    <w:name w:val="Balloon Text"/>
    <w:basedOn w:val="Normal"/>
    <w:link w:val="BalloonTextChar"/>
    <w:uiPriority w:val="99"/>
    <w:semiHidden/>
    <w:unhideWhenUsed/>
    <w:rsid w:val="00912E17"/>
    <w:rPr>
      <w:rFonts w:ascii="Tahoma" w:hAnsi="Tahoma" w:cs="Tahoma"/>
      <w:sz w:val="16"/>
      <w:szCs w:val="16"/>
    </w:rPr>
  </w:style>
  <w:style w:type="character" w:customStyle="1" w:styleId="BalloonTextChar">
    <w:name w:val="Balloon Text Char"/>
    <w:basedOn w:val="DefaultParagraphFont"/>
    <w:link w:val="BalloonText"/>
    <w:uiPriority w:val="99"/>
    <w:semiHidden/>
    <w:rsid w:val="00912E1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aid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aidc.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ip.goa.gov.i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agovt.nic.i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 Thakur</cp:lastModifiedBy>
  <cp:revision>2</cp:revision>
  <cp:lastPrinted>2015-06-01T05:59:00Z</cp:lastPrinted>
  <dcterms:created xsi:type="dcterms:W3CDTF">2015-06-01T11:23:00Z</dcterms:created>
  <dcterms:modified xsi:type="dcterms:W3CDTF">2015-06-01T11:23:00Z</dcterms:modified>
</cp:coreProperties>
</file>